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Tenancy Agreement </w:t>
      </w:r>
      <w:r>
        <w:rPr>
          <w:spacing w:val="-5"/>
        </w:rPr>
        <w:t>UK</w:t>
      </w:r>
    </w:p>
    <w:p>
      <w:pPr>
        <w:pStyle w:val="BodyText"/>
        <w:spacing w:before="1"/>
        <w:ind w:left="0" w:firstLine="0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51pt;height:.1pt;mso-position-horizontal-relative:page;mso-position-vertical-relative:paragraph;z-index:-15728640;mso-wrap-distance-left:0;mso-wrap-distance-right:0" id="docshape2" coordorigin="1440,232" coordsize="9020,0" path="m1440,232l10460,23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2"/>
        <w:ind w:left="724" w:right="0" w:firstLine="0"/>
        <w:jc w:val="left"/>
        <w:rPr>
          <w:sz w:val="16"/>
        </w:rPr>
      </w:pPr>
      <w:r>
        <w:rPr>
          <w:sz w:val="16"/>
        </w:rPr>
        <w:t>Governed by the Housing Act 1988 (as amended), Renters’ Rights Act 2026, Landlord and Tenant Act </w:t>
      </w:r>
      <w:r>
        <w:rPr>
          <w:spacing w:val="-4"/>
          <w:sz w:val="16"/>
        </w:rPr>
        <w:t>1985</w:t>
      </w:r>
    </w:p>
    <w:p>
      <w:pPr>
        <w:pStyle w:val="BodyText"/>
        <w:spacing w:before="104"/>
        <w:ind w:left="0" w:firstLine="0"/>
        <w:rPr>
          <w:sz w:val="16"/>
        </w:rPr>
      </w:pPr>
    </w:p>
    <w:p>
      <w:pPr>
        <w:pStyle w:val="Heading2"/>
        <w:ind w:right="0"/>
      </w:pPr>
      <w:r>
        <w:rPr/>
        <w:t>This Tenancy Agreement is made </w:t>
      </w:r>
      <w:r>
        <w:rPr>
          <w:spacing w:val="-2"/>
        </w:rPr>
        <w:t>between: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  <w:tab w:pos="3367" w:val="left" w:leader="none"/>
          <w:tab w:pos="5064" w:val="left" w:leader="none"/>
          <w:tab w:pos="9090" w:val="left" w:leader="none"/>
        </w:tabs>
        <w:spacing w:line="307" w:lineRule="auto" w:before="142" w:after="0"/>
        <w:ind w:left="343" w:right="121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Landlord: </w:t>
      </w:r>
      <w:r>
        <w:rPr>
          <w:sz w:val="19"/>
        </w:rPr>
        <w:t>Full Name</w:t>
      </w:r>
      <w:r>
        <w:rPr>
          <w:spacing w:val="26"/>
          <w:sz w:val="19"/>
        </w:rPr>
        <w:t> </w:t>
      </w:r>
      <w:r>
        <w:rPr>
          <w:sz w:val="19"/>
          <w:u w:val="single"/>
        </w:rPr>
        <w:tab/>
        <w:tab/>
      </w:r>
      <w:r>
        <w:rPr>
          <w:spacing w:val="-1"/>
          <w:sz w:val="19"/>
        </w:rPr>
        <w:t> </w:t>
      </w:r>
      <w:r>
        <w:rPr>
          <w:sz w:val="19"/>
        </w:rPr>
        <w:t>of</w:t>
      </w:r>
      <w:r>
        <w:rPr>
          <w:spacing w:val="26"/>
          <w:sz w:val="19"/>
        </w:rPr>
        <w:t> </w:t>
      </w:r>
      <w:r>
        <w:rPr>
          <w:sz w:val="19"/>
          <w:u w:val="single"/>
        </w:rPr>
        <w:tab/>
      </w:r>
      <w:r>
        <w:rPr>
          <w:sz w:val="19"/>
        </w:rPr>
        <w:t> Postcode:</w:t>
      </w:r>
      <w:r>
        <w:rPr>
          <w:spacing w:val="79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42" w:val="left" w:leader="none"/>
          <w:tab w:pos="9090" w:val="left" w:leader="none"/>
        </w:tabs>
        <w:spacing w:line="240" w:lineRule="auto" w:before="40" w:after="0"/>
        <w:ind w:left="342" w:right="0" w:hanging="199"/>
        <w:jc w:val="left"/>
        <w:rPr>
          <w:sz w:val="19"/>
        </w:rPr>
      </w:pPr>
      <w:r>
        <w:rPr>
          <w:rFonts w:ascii="Arial" w:hAnsi="Arial"/>
          <w:b/>
          <w:sz w:val="19"/>
        </w:rPr>
        <w:t>Tenant(s): </w:t>
      </w:r>
      <w:r>
        <w:rPr>
          <w:sz w:val="19"/>
        </w:rPr>
        <w:t>Full Name(s) of Tenant 1, 2, 3, 4</w:t>
      </w:r>
      <w:r>
        <w:rPr>
          <w:spacing w:val="26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172" w:after="0"/>
        <w:ind w:left="245" w:right="0" w:hanging="222"/>
        <w:jc w:val="left"/>
      </w:pPr>
      <w:r>
        <w:rPr/>
        <w:t>Property and </w:t>
      </w:r>
      <w:r>
        <w:rPr>
          <w:spacing w:val="-2"/>
        </w:rPr>
        <w:t>Occupation</w:t>
      </w:r>
    </w:p>
    <w:p>
      <w:pPr>
        <w:pStyle w:val="BodyText"/>
        <w:spacing w:before="100"/>
        <w:ind w:left="23" w:firstLine="0"/>
      </w:pPr>
      <w:r>
        <w:rPr/>
        <w:t>The Landlord hereby lets to the Tenant the dwelling known </w:t>
      </w:r>
      <w:r>
        <w:rPr>
          <w:spacing w:val="-5"/>
        </w:rPr>
        <w:t>as:</w:t>
      </w:r>
    </w:p>
    <w:p>
      <w:pPr>
        <w:pStyle w:val="ListParagraph"/>
        <w:numPr>
          <w:ilvl w:val="1"/>
          <w:numId w:val="2"/>
        </w:numPr>
        <w:tabs>
          <w:tab w:pos="342" w:val="left" w:leader="none"/>
          <w:tab w:pos="9010" w:val="left" w:leader="none"/>
        </w:tabs>
        <w:spacing w:line="240" w:lineRule="auto" w:before="61" w:after="0"/>
        <w:ind w:left="342" w:right="0" w:hanging="199"/>
        <w:jc w:val="left"/>
        <w:rPr>
          <w:sz w:val="19"/>
        </w:rPr>
      </w:pPr>
      <w:r>
        <w:rPr>
          <w:sz w:val="19"/>
        </w:rPr>
        <w:t>Full Property Address:</w:t>
      </w:r>
      <w:r>
        <w:rPr>
          <w:spacing w:val="39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342" w:val="left" w:leader="none"/>
        </w:tabs>
        <w:spacing w:line="240" w:lineRule="auto" w:before="62" w:after="0"/>
        <w:ind w:left="342" w:right="0" w:hanging="199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1713071</wp:posOffset>
                </wp:positionH>
                <wp:positionV relativeFrom="paragraph">
                  <wp:posOffset>165298</wp:posOffset>
                </wp:positionV>
                <wp:extent cx="12700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34.887497pt,13.015625pt" to="234.887497pt,13.01562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9"/>
        </w:rPr>
        <w:t>Postcode:</w:t>
      </w:r>
    </w:p>
    <w:p>
      <w:pPr>
        <w:pStyle w:val="ListParagraph"/>
        <w:numPr>
          <w:ilvl w:val="1"/>
          <w:numId w:val="2"/>
        </w:numPr>
        <w:tabs>
          <w:tab w:pos="342" w:val="left" w:leader="none"/>
          <w:tab w:pos="4606" w:val="left" w:leader="none"/>
        </w:tabs>
        <w:spacing w:line="240" w:lineRule="auto" w:before="101" w:after="0"/>
        <w:ind w:left="342" w:right="0" w:hanging="199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2978511</wp:posOffset>
                </wp:positionH>
                <wp:positionV relativeFrom="paragraph">
                  <wp:posOffset>190392</wp:posOffset>
                </wp:positionV>
                <wp:extent cx="7620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34.528503pt,14.991552pt" to="294.528503pt,14.99155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19"/>
        </w:rPr>
        <w:t>Permitted Occupiers:</w:t>
      </w:r>
      <w:r>
        <w:rPr>
          <w:rFonts w:ascii="Arial" w:hAnsi="Arial"/>
          <w:b/>
          <w:spacing w:val="-1"/>
          <w:sz w:val="19"/>
        </w:rPr>
        <w:t> </w:t>
      </w:r>
      <w:r>
        <w:rPr>
          <w:spacing w:val="-2"/>
          <w:sz w:val="19"/>
        </w:rPr>
        <w:t>Maximum</w:t>
      </w:r>
      <w:r>
        <w:rPr>
          <w:sz w:val="19"/>
        </w:rPr>
        <w:tab/>
      </w:r>
      <w:r>
        <w:rPr>
          <w:spacing w:val="-2"/>
          <w:sz w:val="19"/>
        </w:rPr>
        <w:t>persons.</w:t>
      </w:r>
    </w:p>
    <w:p>
      <w:pPr>
        <w:pStyle w:val="ListParagraph"/>
        <w:numPr>
          <w:ilvl w:val="1"/>
          <w:numId w:val="2"/>
        </w:numPr>
        <w:tabs>
          <w:tab w:pos="342" w:val="left" w:leader="none"/>
          <w:tab w:pos="5240" w:val="left" w:leader="none"/>
          <w:tab w:pos="9090" w:val="left" w:leader="none"/>
        </w:tabs>
        <w:spacing w:line="240" w:lineRule="auto" w:before="62" w:after="0"/>
        <w:ind w:left="342" w:right="0" w:hanging="199"/>
        <w:jc w:val="left"/>
        <w:rPr>
          <w:sz w:val="19"/>
        </w:rPr>
      </w:pPr>
      <w:r>
        <w:rPr>
          <w:rFonts w:ascii="Arial" w:hAnsi="Arial"/>
          <w:b/>
          <w:sz w:val="19"/>
        </w:rPr>
        <w:t>Condition: </w:t>
      </w:r>
      <w:r>
        <w:rPr>
          <w:sz w:val="19"/>
        </w:rPr>
        <w:t>The Property is let as </w:t>
      </w:r>
      <w:r>
        <w:rPr>
          <w:sz w:val="19"/>
          <w:u w:val="single"/>
        </w:rPr>
        <w:tab/>
      </w:r>
      <w:r>
        <w:rPr>
          <w:spacing w:val="40"/>
          <w:sz w:val="19"/>
        </w:rPr>
        <w:t> </w:t>
      </w:r>
      <w:r>
        <w:rPr>
          <w:sz w:val="19"/>
        </w:rPr>
        <w:t>with an inventory dated </w:t>
      </w:r>
      <w:r>
        <w:rPr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172" w:after="0"/>
        <w:ind w:left="245" w:right="0" w:hanging="222"/>
        <w:jc w:val="left"/>
      </w:pPr>
      <w:r>
        <w:rPr/>
        <w:t>Tenancy Type and Start </w:t>
      </w:r>
      <w:r>
        <w:rPr>
          <w:spacing w:val="-4"/>
        </w:rPr>
        <w:t>Date</w:t>
      </w:r>
    </w:p>
    <w:p>
      <w:pPr>
        <w:spacing w:before="99"/>
        <w:ind w:left="23" w:right="0" w:firstLine="0"/>
        <w:jc w:val="left"/>
        <w:rPr>
          <w:rFonts w:ascii="Arial"/>
          <w:b/>
          <w:sz w:val="19"/>
        </w:rPr>
      </w:pPr>
      <w:r>
        <w:rPr>
          <w:sz w:val="19"/>
        </w:rPr>
        <w:t>This Agreement creates an</w:t>
      </w:r>
      <w:r>
        <w:rPr>
          <w:spacing w:val="-1"/>
          <w:sz w:val="19"/>
        </w:rPr>
        <w:t> </w:t>
      </w:r>
      <w:r>
        <w:rPr>
          <w:rFonts w:ascii="Arial"/>
          <w:b/>
          <w:sz w:val="19"/>
        </w:rPr>
        <w:t>assured periodic </w:t>
      </w:r>
      <w:r>
        <w:rPr>
          <w:rFonts w:ascii="Arial"/>
          <w:b/>
          <w:spacing w:val="-2"/>
          <w:sz w:val="19"/>
        </w:rPr>
        <w:t>tenancy</w:t>
      </w:r>
    </w:p>
    <w:p>
      <w:pPr>
        <w:pStyle w:val="BodyText"/>
        <w:ind w:left="23" w:firstLine="0"/>
      </w:pPr>
      <w:r>
        <w:rPr/>
        <w:t>under the Housing Act 1988 as amended by the Renters' Rights Act </w:t>
      </w:r>
      <w:r>
        <w:rPr>
          <w:spacing w:val="-2"/>
        </w:rPr>
        <w:t>2026.</w:t>
      </w:r>
    </w:p>
    <w:p>
      <w:pPr>
        <w:pStyle w:val="ListParagraph"/>
        <w:numPr>
          <w:ilvl w:val="1"/>
          <w:numId w:val="2"/>
        </w:numPr>
        <w:tabs>
          <w:tab w:pos="342" w:val="left" w:leader="none"/>
          <w:tab w:pos="5218" w:val="left" w:leader="none"/>
        </w:tabs>
        <w:spacing w:line="240" w:lineRule="auto" w:before="101" w:after="0"/>
        <w:ind w:left="342" w:right="0" w:hanging="199"/>
        <w:jc w:val="left"/>
        <w:rPr>
          <w:sz w:val="19"/>
        </w:rPr>
      </w:pPr>
      <w:r>
        <w:rPr>
          <w:rFonts w:ascii="Arial" w:hAnsi="Arial"/>
          <w:b/>
          <w:sz w:val="19"/>
        </w:rPr>
        <w:t>Start Date: </w:t>
      </w:r>
      <w:r>
        <w:rPr>
          <w:sz w:val="19"/>
        </w:rPr>
        <w:t>The tenancy begins on</w:t>
      </w:r>
      <w:r>
        <w:rPr>
          <w:spacing w:val="39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342" w:val="left" w:leader="none"/>
          <w:tab w:pos="9090" w:val="left" w:leader="none"/>
        </w:tabs>
        <w:spacing w:line="240" w:lineRule="auto" w:before="62" w:after="0"/>
        <w:ind w:left="342" w:right="0" w:hanging="199"/>
        <w:jc w:val="left"/>
        <w:rPr>
          <w:sz w:val="19"/>
        </w:rPr>
      </w:pPr>
      <w:r>
        <w:rPr>
          <w:rFonts w:ascii="Arial" w:hAnsi="Arial"/>
          <w:b/>
          <w:sz w:val="19"/>
        </w:rPr>
        <w:t>Nature: </w:t>
      </w:r>
      <w:r>
        <w:rPr>
          <w:sz w:val="19"/>
        </w:rPr>
        <w:t>The tenancy is a rolling periodic tenancy with a rental period of</w:t>
      </w:r>
      <w:r>
        <w:rPr>
          <w:spacing w:val="38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61" w:after="0"/>
        <w:ind w:left="343" w:right="314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Fixed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Terms: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No</w:t>
      </w:r>
      <w:r>
        <w:rPr>
          <w:spacing w:val="-3"/>
          <w:sz w:val="19"/>
        </w:rPr>
        <w:t> </w:t>
      </w:r>
      <w:r>
        <w:rPr>
          <w:sz w:val="19"/>
        </w:rPr>
        <w:t>fixed</w:t>
      </w:r>
      <w:r>
        <w:rPr>
          <w:spacing w:val="-3"/>
          <w:sz w:val="19"/>
        </w:rPr>
        <w:t> </w:t>
      </w:r>
      <w:r>
        <w:rPr>
          <w:sz w:val="19"/>
        </w:rPr>
        <w:t>term</w:t>
      </w:r>
      <w:r>
        <w:rPr>
          <w:spacing w:val="-3"/>
          <w:sz w:val="19"/>
        </w:rPr>
        <w:t> </w:t>
      </w:r>
      <w:r>
        <w:rPr>
          <w:sz w:val="19"/>
        </w:rPr>
        <w:t>applies,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per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Renters’</w:t>
      </w:r>
      <w:r>
        <w:rPr>
          <w:spacing w:val="-3"/>
          <w:sz w:val="19"/>
        </w:rPr>
        <w:t> </w:t>
      </w:r>
      <w:r>
        <w:rPr>
          <w:sz w:val="19"/>
        </w:rPr>
        <w:t>Rights</w:t>
      </w:r>
      <w:r>
        <w:rPr>
          <w:spacing w:val="-3"/>
          <w:sz w:val="19"/>
        </w:rPr>
        <w:t> </w:t>
      </w:r>
      <w:r>
        <w:rPr>
          <w:sz w:val="19"/>
        </w:rPr>
        <w:t>Act</w:t>
      </w:r>
      <w:r>
        <w:rPr>
          <w:spacing w:val="-3"/>
          <w:sz w:val="19"/>
        </w:rPr>
        <w:t> </w:t>
      </w:r>
      <w:r>
        <w:rPr>
          <w:sz w:val="19"/>
        </w:rPr>
        <w:t>2026.</w:t>
      </w:r>
      <w:r>
        <w:rPr>
          <w:spacing w:val="-3"/>
          <w:sz w:val="19"/>
        </w:rPr>
        <w:t> </w:t>
      </w:r>
      <w:r>
        <w:rPr>
          <w:sz w:val="19"/>
        </w:rPr>
        <w:t>Section</w:t>
      </w:r>
      <w:r>
        <w:rPr>
          <w:spacing w:val="-3"/>
          <w:sz w:val="19"/>
        </w:rPr>
        <w:t> </w:t>
      </w:r>
      <w:r>
        <w:rPr>
          <w:sz w:val="19"/>
        </w:rPr>
        <w:t>21</w:t>
      </w:r>
      <w:r>
        <w:rPr>
          <w:spacing w:val="-3"/>
          <w:sz w:val="19"/>
        </w:rPr>
        <w:t> </w:t>
      </w:r>
      <w:r>
        <w:rPr>
          <w:sz w:val="19"/>
        </w:rPr>
        <w:t>‘no-fault’</w:t>
      </w:r>
      <w:r>
        <w:rPr>
          <w:spacing w:val="-3"/>
          <w:sz w:val="19"/>
        </w:rPr>
        <w:t> </w:t>
      </w:r>
      <w:r>
        <w:rPr>
          <w:sz w:val="19"/>
        </w:rPr>
        <w:t>notices are abolished.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72" w:after="0"/>
        <w:ind w:left="245" w:right="0" w:hanging="222"/>
        <w:jc w:val="left"/>
      </w:pPr>
      <w:r>
        <w:rPr/>
        <w:t>Rent and Bidding Wars </w:t>
      </w:r>
      <w:r>
        <w:rPr>
          <w:spacing w:val="-2"/>
        </w:rPr>
        <w:t>Prohibition</w:t>
      </w:r>
    </w:p>
    <w:p>
      <w:pPr>
        <w:pStyle w:val="ListParagraph"/>
        <w:numPr>
          <w:ilvl w:val="1"/>
          <w:numId w:val="2"/>
        </w:numPr>
        <w:tabs>
          <w:tab w:pos="342" w:val="left" w:leader="none"/>
          <w:tab w:pos="3793" w:val="left" w:leader="none"/>
          <w:tab w:pos="9090" w:val="left" w:leader="none"/>
        </w:tabs>
        <w:spacing w:line="240" w:lineRule="auto" w:before="99" w:after="0"/>
        <w:ind w:left="342" w:right="0" w:hanging="199"/>
        <w:jc w:val="left"/>
        <w:rPr>
          <w:sz w:val="19"/>
        </w:rPr>
      </w:pPr>
      <w:r>
        <w:rPr>
          <w:rFonts w:ascii="Arial" w:hAnsi="Arial"/>
          <w:b/>
          <w:sz w:val="19"/>
        </w:rPr>
        <w:t>Amount:</w:t>
      </w:r>
      <w:r>
        <w:rPr>
          <w:rFonts w:ascii="Arial" w:hAnsi="Arial"/>
          <w:b/>
          <w:spacing w:val="-1"/>
          <w:sz w:val="19"/>
        </w:rPr>
        <w:t> </w:t>
      </w:r>
      <w:r>
        <w:rPr>
          <w:sz w:val="19"/>
        </w:rPr>
        <w:t>The Rent is £</w:t>
      </w:r>
      <w:r>
        <w:rPr>
          <w:spacing w:val="-13"/>
          <w:sz w:val="19"/>
        </w:rPr>
        <w:t> </w:t>
      </w:r>
      <w:r>
        <w:rPr>
          <w:sz w:val="19"/>
          <w:u w:val="single"/>
        </w:rPr>
        <w:tab/>
      </w:r>
      <w:r>
        <w:rPr>
          <w:spacing w:val="40"/>
          <w:sz w:val="19"/>
        </w:rPr>
        <w:t> </w:t>
      </w:r>
      <w:r>
        <w:rPr>
          <w:sz w:val="19"/>
        </w:rPr>
        <w:t>per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342" w:val="left" w:leader="none"/>
          <w:tab w:pos="4913" w:val="left" w:leader="none"/>
          <w:tab w:pos="9090" w:val="left" w:leader="none"/>
        </w:tabs>
        <w:spacing w:line="240" w:lineRule="auto" w:before="62" w:after="0"/>
        <w:ind w:left="342" w:right="0" w:hanging="199"/>
        <w:jc w:val="left"/>
        <w:rPr>
          <w:sz w:val="19"/>
        </w:rPr>
      </w:pPr>
      <w:r>
        <w:rPr>
          <w:rFonts w:ascii="Arial" w:hAnsi="Arial"/>
          <w:b/>
          <w:sz w:val="19"/>
        </w:rPr>
        <w:t>Payment: </w:t>
      </w:r>
      <w:r>
        <w:rPr>
          <w:sz w:val="19"/>
        </w:rPr>
        <w:t>Payable in advance on</w:t>
      </w:r>
      <w:r>
        <w:rPr>
          <w:spacing w:val="38"/>
          <w:sz w:val="19"/>
        </w:rPr>
        <w:t> </w:t>
      </w:r>
      <w:r>
        <w:rPr>
          <w:sz w:val="19"/>
          <w:u w:val="single"/>
        </w:rPr>
        <w:tab/>
      </w:r>
      <w:r>
        <w:rPr>
          <w:spacing w:val="40"/>
          <w:sz w:val="19"/>
        </w:rPr>
        <w:t> </w:t>
      </w:r>
      <w:r>
        <w:rPr>
          <w:sz w:val="19"/>
        </w:rPr>
        <w:t>by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343" w:val="left" w:leader="none"/>
          <w:tab w:pos="5356" w:val="left" w:leader="none"/>
        </w:tabs>
        <w:spacing w:line="307" w:lineRule="auto" w:before="61" w:after="0"/>
        <w:ind w:left="343" w:right="632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Bidding Wars: </w:t>
      </w:r>
      <w:r>
        <w:rPr>
          <w:sz w:val="19"/>
        </w:rPr>
        <w:t>The advertised rent was £ </w:t>
      </w:r>
      <w:r>
        <w:rPr>
          <w:sz w:val="19"/>
          <w:u w:val="single"/>
        </w:rPr>
        <w:tab/>
      </w:r>
      <w:r>
        <w:rPr>
          <w:spacing w:val="-21"/>
          <w:sz w:val="19"/>
        </w:rPr>
        <w:t> </w:t>
      </w:r>
      <w:r>
        <w:rPr>
          <w:sz w:val="19"/>
        </w:rPr>
        <w:t>.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Landlord</w:t>
      </w:r>
      <w:r>
        <w:rPr>
          <w:spacing w:val="-5"/>
          <w:sz w:val="19"/>
        </w:rPr>
        <w:t> </w:t>
      </w:r>
      <w:r>
        <w:rPr>
          <w:sz w:val="19"/>
        </w:rPr>
        <w:t>confirms</w:t>
      </w:r>
      <w:r>
        <w:rPr>
          <w:spacing w:val="-5"/>
          <w:sz w:val="19"/>
        </w:rPr>
        <w:t> </w:t>
      </w:r>
      <w:r>
        <w:rPr>
          <w:sz w:val="19"/>
        </w:rPr>
        <w:t>they</w:t>
      </w:r>
      <w:r>
        <w:rPr>
          <w:spacing w:val="-5"/>
          <w:sz w:val="19"/>
        </w:rPr>
        <w:t> </w:t>
      </w:r>
      <w:r>
        <w:rPr>
          <w:sz w:val="19"/>
        </w:rPr>
        <w:t>have</w:t>
      </w:r>
      <w:r>
        <w:rPr>
          <w:spacing w:val="-5"/>
          <w:sz w:val="19"/>
        </w:rPr>
        <w:t> </w:t>
      </w:r>
      <w:r>
        <w:rPr>
          <w:sz w:val="19"/>
        </w:rPr>
        <w:t>not invited or accepted any offer above this advertised price.</w:t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1" w:after="0"/>
        <w:ind w:left="343" w:right="281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Increases:</w:t>
      </w:r>
      <w:r>
        <w:rPr>
          <w:rFonts w:ascii="Arial" w:hAnsi="Arial"/>
          <w:b/>
          <w:spacing w:val="-4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rent</w:t>
      </w:r>
      <w:r>
        <w:rPr>
          <w:spacing w:val="-3"/>
          <w:sz w:val="19"/>
        </w:rPr>
        <w:t> </w:t>
      </w:r>
      <w:r>
        <w:rPr>
          <w:sz w:val="19"/>
        </w:rPr>
        <w:t>increase</w:t>
      </w:r>
      <w:r>
        <w:rPr>
          <w:spacing w:val="-3"/>
          <w:sz w:val="19"/>
        </w:rPr>
        <w:t> </w:t>
      </w:r>
      <w:r>
        <w:rPr>
          <w:sz w:val="19"/>
        </w:rPr>
        <w:t>must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made</w:t>
      </w:r>
      <w:r>
        <w:rPr>
          <w:spacing w:val="-3"/>
          <w:sz w:val="19"/>
        </w:rPr>
        <w:t> </w:t>
      </w:r>
      <w:r>
        <w:rPr>
          <w:sz w:val="19"/>
        </w:rPr>
        <w:t>via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Section</w:t>
      </w:r>
      <w:r>
        <w:rPr>
          <w:spacing w:val="-3"/>
          <w:sz w:val="19"/>
        </w:rPr>
        <w:t> </w:t>
      </w:r>
      <w:r>
        <w:rPr>
          <w:sz w:val="19"/>
        </w:rPr>
        <w:t>13</w:t>
      </w:r>
      <w:r>
        <w:rPr>
          <w:spacing w:val="-3"/>
          <w:sz w:val="19"/>
        </w:rPr>
        <w:t> </w:t>
      </w:r>
      <w:r>
        <w:rPr>
          <w:sz w:val="19"/>
        </w:rPr>
        <w:t>statutory</w:t>
      </w:r>
      <w:r>
        <w:rPr>
          <w:spacing w:val="-3"/>
          <w:sz w:val="19"/>
        </w:rPr>
        <w:t> </w:t>
      </w:r>
      <w:r>
        <w:rPr>
          <w:sz w:val="19"/>
        </w:rPr>
        <w:t>procedure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Housing Act 1988, limited to once per year with a minimum of 2 months’ written notice.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71" w:after="0"/>
        <w:ind w:left="245" w:right="0" w:hanging="222"/>
        <w:jc w:val="left"/>
      </w:pPr>
      <w:r>
        <w:rPr>
          <w:spacing w:val="-2"/>
        </w:rPr>
        <w:t>Deposit</w:t>
      </w:r>
    </w:p>
    <w:p>
      <w:pPr>
        <w:pStyle w:val="ListParagraph"/>
        <w:numPr>
          <w:ilvl w:val="1"/>
          <w:numId w:val="2"/>
        </w:numPr>
        <w:tabs>
          <w:tab w:pos="342" w:val="left" w:leader="none"/>
          <w:tab w:pos="3369" w:val="left" w:leader="none"/>
        </w:tabs>
        <w:spacing w:line="240" w:lineRule="auto" w:before="100" w:after="0"/>
        <w:ind w:left="342" w:right="0" w:hanging="199"/>
        <w:jc w:val="left"/>
        <w:rPr>
          <w:sz w:val="19"/>
        </w:rPr>
      </w:pPr>
      <w:r>
        <w:rPr>
          <w:rFonts w:ascii="Arial" w:hAnsi="Arial"/>
          <w:b/>
          <w:sz w:val="19"/>
        </w:rPr>
        <w:t>Amount:</w:t>
      </w:r>
      <w:r>
        <w:rPr>
          <w:rFonts w:ascii="Arial" w:hAnsi="Arial"/>
          <w:b/>
          <w:spacing w:val="-1"/>
          <w:sz w:val="19"/>
        </w:rPr>
        <w:t> </w:t>
      </w:r>
      <w:r>
        <w:rPr>
          <w:sz w:val="19"/>
        </w:rPr>
        <w:t>£</w:t>
      </w:r>
      <w:r>
        <w:rPr>
          <w:spacing w:val="-13"/>
          <w:sz w:val="19"/>
        </w:rPr>
        <w:t>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61" w:after="0"/>
        <w:ind w:left="343" w:right="662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Compliance:</w:t>
      </w:r>
      <w:r>
        <w:rPr>
          <w:rFonts w:ascii="Arial" w:hAnsi="Arial"/>
          <w:b/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deposit</w:t>
      </w:r>
      <w:r>
        <w:rPr>
          <w:spacing w:val="-4"/>
          <w:sz w:val="19"/>
        </w:rPr>
        <w:t> </w:t>
      </w:r>
      <w:r>
        <w:rPr>
          <w:sz w:val="19"/>
        </w:rPr>
        <w:t>shall</w:t>
      </w:r>
      <w:r>
        <w:rPr>
          <w:spacing w:val="-4"/>
          <w:sz w:val="19"/>
        </w:rPr>
        <w:t> </w:t>
      </w:r>
      <w:r>
        <w:rPr>
          <w:sz w:val="19"/>
        </w:rPr>
        <w:t>be</w:t>
      </w:r>
      <w:r>
        <w:rPr>
          <w:spacing w:val="-4"/>
          <w:sz w:val="19"/>
        </w:rPr>
        <w:t> </w:t>
      </w:r>
      <w:r>
        <w:rPr>
          <w:sz w:val="19"/>
        </w:rPr>
        <w:t>protected</w:t>
      </w:r>
      <w:r>
        <w:rPr>
          <w:spacing w:val="-4"/>
          <w:sz w:val="19"/>
        </w:rPr>
        <w:t> </w:t>
      </w:r>
      <w:r>
        <w:rPr>
          <w:sz w:val="19"/>
        </w:rPr>
        <w:t>in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government-authorised</w:t>
      </w:r>
      <w:r>
        <w:rPr>
          <w:spacing w:val="-4"/>
          <w:sz w:val="19"/>
        </w:rPr>
        <w:t> </w:t>
      </w:r>
      <w:r>
        <w:rPr>
          <w:sz w:val="19"/>
        </w:rPr>
        <w:t>tenancy</w:t>
      </w:r>
      <w:r>
        <w:rPr>
          <w:spacing w:val="-4"/>
          <w:sz w:val="19"/>
        </w:rPr>
        <w:t> </w:t>
      </w:r>
      <w:r>
        <w:rPr>
          <w:sz w:val="19"/>
        </w:rPr>
        <w:t>deposit</w:t>
      </w:r>
      <w:r>
        <w:rPr>
          <w:spacing w:val="-4"/>
          <w:sz w:val="19"/>
        </w:rPr>
        <w:t> </w:t>
      </w:r>
      <w:r>
        <w:rPr>
          <w:sz w:val="19"/>
        </w:rPr>
        <w:t>scheme within 30 days of receipt, and the Tenant shall be provided with the prescribed information in accordance with the Housing Act 2004.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72" w:after="0"/>
        <w:ind w:left="245" w:right="0" w:hanging="222"/>
        <w:jc w:val="left"/>
      </w:pPr>
      <w:r>
        <w:rPr>
          <w:spacing w:val="-4"/>
        </w:rPr>
        <w:t>Pets</w:t>
      </w:r>
    </w:p>
    <w:p>
      <w:pPr>
        <w:pStyle w:val="ListParagraph"/>
        <w:numPr>
          <w:ilvl w:val="1"/>
          <w:numId w:val="2"/>
        </w:numPr>
        <w:tabs>
          <w:tab w:pos="342" w:val="left" w:leader="none"/>
        </w:tabs>
        <w:spacing w:line="240" w:lineRule="auto" w:before="99" w:after="0"/>
        <w:ind w:left="342" w:right="0" w:hanging="199"/>
        <w:jc w:val="left"/>
        <w:rPr>
          <w:sz w:val="19"/>
        </w:rPr>
      </w:pPr>
      <w:r>
        <w:rPr>
          <w:sz w:val="19"/>
        </w:rPr>
        <w:t>The Tenant may submit a written request to the Landlord to keep a pet at the </w:t>
      </w:r>
      <w:r>
        <w:rPr>
          <w:spacing w:val="-2"/>
          <w:sz w:val="19"/>
        </w:rPr>
        <w:t>Property.</w:t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62" w:after="0"/>
        <w:ind w:left="343" w:right="873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Landlord’s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Consent: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unreasonably</w:t>
      </w:r>
      <w:r>
        <w:rPr>
          <w:spacing w:val="-3"/>
          <w:sz w:val="19"/>
        </w:rPr>
        <w:t> </w:t>
      </w:r>
      <w:r>
        <w:rPr>
          <w:sz w:val="19"/>
        </w:rPr>
        <w:t>withhold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delay</w:t>
      </w:r>
      <w:r>
        <w:rPr>
          <w:spacing w:val="-3"/>
          <w:sz w:val="19"/>
        </w:rPr>
        <w:t> </w:t>
      </w:r>
      <w:r>
        <w:rPr>
          <w:sz w:val="19"/>
        </w:rPr>
        <w:t>consent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such</w:t>
      </w:r>
      <w:r>
        <w:rPr>
          <w:spacing w:val="-3"/>
          <w:sz w:val="19"/>
        </w:rPr>
        <w:t> </w:t>
      </w:r>
      <w:r>
        <w:rPr>
          <w:sz w:val="19"/>
        </w:rPr>
        <w:t>a request, having regard to the nature of the property and the type of pet.</w:t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0" w:after="0"/>
        <w:ind w:left="343" w:right="429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Insurance: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require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maintain</w:t>
      </w:r>
      <w:r>
        <w:rPr>
          <w:spacing w:val="-3"/>
          <w:sz w:val="19"/>
        </w:rPr>
        <w:t> </w:t>
      </w:r>
      <w:r>
        <w:rPr>
          <w:sz w:val="19"/>
        </w:rPr>
        <w:t>appropriate</w:t>
      </w:r>
      <w:r>
        <w:rPr>
          <w:spacing w:val="-3"/>
          <w:sz w:val="19"/>
        </w:rPr>
        <w:t> </w:t>
      </w:r>
      <w:r>
        <w:rPr>
          <w:sz w:val="19"/>
        </w:rPr>
        <w:t>insurance</w:t>
      </w:r>
      <w:r>
        <w:rPr>
          <w:spacing w:val="-3"/>
          <w:sz w:val="19"/>
        </w:rPr>
        <w:t> </w:t>
      </w:r>
      <w:r>
        <w:rPr>
          <w:sz w:val="19"/>
        </w:rPr>
        <w:t>against</w:t>
      </w:r>
      <w:r>
        <w:rPr>
          <w:spacing w:val="-3"/>
          <w:sz w:val="19"/>
        </w:rPr>
        <w:t> </w:t>
      </w:r>
      <w:r>
        <w:rPr>
          <w:sz w:val="19"/>
        </w:rPr>
        <w:t>property damage caused by the pet as a condition of consent.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72" w:after="0"/>
        <w:ind w:left="245" w:right="0" w:hanging="222"/>
        <w:jc w:val="left"/>
      </w:pPr>
      <w:r>
        <w:rPr/>
        <w:t>Landlord and Tenant </w:t>
      </w:r>
      <w:r>
        <w:rPr>
          <w:spacing w:val="-2"/>
        </w:rPr>
        <w:t>Obligations</w:t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99" w:after="0"/>
        <w:ind w:left="343" w:right="197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Repairs: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maintain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Property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state</w:t>
      </w:r>
      <w:r>
        <w:rPr>
          <w:spacing w:val="-2"/>
          <w:sz w:val="19"/>
        </w:rPr>
        <w:t> </w:t>
      </w:r>
      <w:r>
        <w:rPr>
          <w:sz w:val="19"/>
        </w:rPr>
        <w:t>fit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2"/>
          <w:sz w:val="19"/>
        </w:rPr>
        <w:t> </w:t>
      </w:r>
      <w:r>
        <w:rPr>
          <w:sz w:val="19"/>
        </w:rPr>
        <w:t>human</w:t>
      </w:r>
      <w:r>
        <w:rPr>
          <w:spacing w:val="-3"/>
          <w:sz w:val="19"/>
        </w:rPr>
        <w:t> </w:t>
      </w:r>
      <w:r>
        <w:rPr>
          <w:sz w:val="19"/>
        </w:rPr>
        <w:t>habitation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accordance</w:t>
      </w:r>
      <w:r>
        <w:rPr>
          <w:spacing w:val="-2"/>
          <w:sz w:val="19"/>
        </w:rPr>
        <w:t> </w:t>
      </w:r>
      <w:r>
        <w:rPr>
          <w:sz w:val="19"/>
        </w:rPr>
        <w:t>with the Decent Homes Standard and all statutory safety obligations, including under the Landlord and Tenant Act 1985 and the Homes (Fitness for Human Habitation) Act 2018.</w:t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1" w:after="0"/>
        <w:ind w:left="343" w:right="409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Tenant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Care: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keep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interior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Property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tenant-like</w:t>
      </w:r>
      <w:r>
        <w:rPr>
          <w:spacing w:val="-2"/>
          <w:sz w:val="19"/>
        </w:rPr>
        <w:t> </w:t>
      </w:r>
      <w:r>
        <w:rPr>
          <w:sz w:val="19"/>
        </w:rPr>
        <w:t>manner,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be responsible for minor maintenance. Fair wear and tear is excepted.</w:t>
      </w:r>
    </w:p>
    <w:p>
      <w:pPr>
        <w:pStyle w:val="ListParagraph"/>
        <w:spacing w:after="0" w:line="307" w:lineRule="auto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885" w:top="1260" w:bottom="1080" w:left="1417" w:right="1275"/>
          <w:pgNumType w:start="1"/>
        </w:sectPr>
      </w:pPr>
    </w:p>
    <w:p>
      <w:pPr>
        <w:tabs>
          <w:tab w:pos="8535" w:val="left" w:leader="none"/>
        </w:tabs>
        <w:spacing w:before="70"/>
        <w:ind w:left="23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Tenancy Agreement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spacing w:before="1"/>
        <w:ind w:left="0" w:firstLine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7104;mso-wrap-distance-left:0;mso-wrap-distance-right:0" id="docshape3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116" w:after="0"/>
        <w:ind w:left="343" w:right="589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Discrimination: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apply</w:t>
      </w:r>
      <w:r>
        <w:rPr>
          <w:spacing w:val="-3"/>
          <w:sz w:val="19"/>
        </w:rPr>
        <w:t> </w:t>
      </w:r>
      <w:r>
        <w:rPr>
          <w:sz w:val="19"/>
        </w:rPr>
        <w:t>discriminatory</w:t>
      </w:r>
      <w:r>
        <w:rPr>
          <w:spacing w:val="-3"/>
          <w:sz w:val="19"/>
        </w:rPr>
        <w:t> </w:t>
      </w:r>
      <w:r>
        <w:rPr>
          <w:sz w:val="19"/>
        </w:rPr>
        <w:t>practices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breach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Equality</w:t>
      </w:r>
      <w:r>
        <w:rPr>
          <w:spacing w:val="-3"/>
          <w:sz w:val="19"/>
        </w:rPr>
        <w:t> </w:t>
      </w:r>
      <w:r>
        <w:rPr>
          <w:sz w:val="19"/>
        </w:rPr>
        <w:t>Act 2010, including with respect to tenants with children or those in receipt of housing benefit or other welfare payments.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72" w:after="0"/>
        <w:ind w:left="245" w:right="0" w:hanging="222"/>
        <w:jc w:val="left"/>
      </w:pPr>
      <w:r>
        <w:rPr/>
        <w:t>Access and </w:t>
      </w:r>
      <w:r>
        <w:rPr>
          <w:spacing w:val="-2"/>
        </w:rPr>
        <w:t>Inspection</w:t>
      </w:r>
    </w:p>
    <w:p>
      <w:pPr>
        <w:pStyle w:val="BodyText"/>
        <w:spacing w:line="307" w:lineRule="auto" w:before="100"/>
        <w:ind w:left="23" w:firstLine="0"/>
      </w:pPr>
      <w:r>
        <w:rPr/>
        <w:t>The Tenant shall permit the Landlord or the Landlord’s agents access to the Property for the purpose of carrying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repairs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inspections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reasonable</w:t>
      </w:r>
      <w:r>
        <w:rPr>
          <w:spacing w:val="-2"/>
        </w:rPr>
        <w:t> </w:t>
      </w:r>
      <w:r>
        <w:rPr/>
        <w:t>times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day,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hours’</w:t>
      </w:r>
      <w:r>
        <w:rPr>
          <w:spacing w:val="-2"/>
        </w:rPr>
        <w:t> </w:t>
      </w:r>
      <w:r>
        <w:rPr/>
        <w:t>written</w:t>
      </w:r>
      <w:r>
        <w:rPr>
          <w:spacing w:val="-2"/>
        </w:rPr>
        <w:t> </w:t>
      </w:r>
      <w:r>
        <w:rPr/>
        <w:t>notice has been given, except in cases of genuine emergency.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31" w:after="0"/>
        <w:ind w:left="245" w:right="0" w:hanging="222"/>
        <w:jc w:val="left"/>
      </w:pPr>
      <w:r>
        <w:rPr/>
        <w:t>Ending the </w:t>
      </w:r>
      <w:r>
        <w:rPr>
          <w:spacing w:val="-2"/>
        </w:rPr>
        <w:t>Tenancy</w:t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100" w:after="0"/>
        <w:ind w:left="343" w:right="314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Tenant:</w:t>
      </w:r>
      <w:r>
        <w:rPr>
          <w:rFonts w:ascii="Arial" w:hAnsi="Arial"/>
          <w:b/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end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periodic</w:t>
      </w:r>
      <w:r>
        <w:rPr>
          <w:spacing w:val="-2"/>
          <w:sz w:val="19"/>
        </w:rPr>
        <w:t> </w:t>
      </w:r>
      <w:r>
        <w:rPr>
          <w:sz w:val="19"/>
        </w:rPr>
        <w:t>tenancy</w:t>
      </w:r>
      <w:r>
        <w:rPr>
          <w:spacing w:val="-2"/>
          <w:sz w:val="19"/>
        </w:rPr>
        <w:t> </w:t>
      </w:r>
      <w:r>
        <w:rPr>
          <w:sz w:val="19"/>
        </w:rPr>
        <w:t>by</w:t>
      </w:r>
      <w:r>
        <w:rPr>
          <w:spacing w:val="-2"/>
          <w:sz w:val="19"/>
        </w:rPr>
        <w:t> </w:t>
      </w:r>
      <w:r>
        <w:rPr>
          <w:sz w:val="19"/>
        </w:rPr>
        <w:t>giving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less</w:t>
      </w:r>
      <w:r>
        <w:rPr>
          <w:spacing w:val="-2"/>
          <w:sz w:val="19"/>
        </w:rPr>
        <w:t> </w:t>
      </w:r>
      <w:r>
        <w:rPr>
          <w:sz w:val="19"/>
        </w:rPr>
        <w:t>than</w:t>
      </w:r>
      <w:r>
        <w:rPr>
          <w:spacing w:val="-2"/>
          <w:sz w:val="19"/>
        </w:rPr>
        <w:t> </w:t>
      </w:r>
      <w:r>
        <w:rPr>
          <w:sz w:val="19"/>
        </w:rPr>
        <w:t>2</w:t>
      </w:r>
      <w:r>
        <w:rPr>
          <w:spacing w:val="-2"/>
          <w:sz w:val="19"/>
        </w:rPr>
        <w:t> </w:t>
      </w:r>
      <w:r>
        <w:rPr>
          <w:sz w:val="19"/>
        </w:rPr>
        <w:t>months’</w:t>
      </w:r>
      <w:r>
        <w:rPr>
          <w:spacing w:val="-2"/>
          <w:sz w:val="19"/>
        </w:rPr>
        <w:t> </w:t>
      </w:r>
      <w:r>
        <w:rPr>
          <w:sz w:val="19"/>
        </w:rPr>
        <w:t>written</w:t>
      </w:r>
      <w:r>
        <w:rPr>
          <w:spacing w:val="-2"/>
          <w:sz w:val="19"/>
        </w:rPr>
        <w:t> </w:t>
      </w:r>
      <w:r>
        <w:rPr>
          <w:sz w:val="19"/>
        </w:rPr>
        <w:t>notice to the Landlord.</w:t>
      </w:r>
    </w:p>
    <w:p>
      <w:pPr>
        <w:pStyle w:val="ListParagraph"/>
        <w:numPr>
          <w:ilvl w:val="1"/>
          <w:numId w:val="2"/>
        </w:numPr>
        <w:tabs>
          <w:tab w:pos="343" w:val="left" w:leader="none"/>
        </w:tabs>
        <w:spacing w:line="307" w:lineRule="auto" w:before="0" w:after="0"/>
        <w:ind w:left="343" w:right="303" w:hanging="200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Landlord: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only</w:t>
      </w:r>
      <w:r>
        <w:rPr>
          <w:spacing w:val="-3"/>
          <w:sz w:val="19"/>
        </w:rPr>
        <w:t> </w:t>
      </w:r>
      <w:r>
        <w:rPr>
          <w:sz w:val="19"/>
        </w:rPr>
        <w:t>seek</w:t>
      </w:r>
      <w:r>
        <w:rPr>
          <w:spacing w:val="-3"/>
          <w:sz w:val="19"/>
        </w:rPr>
        <w:t> </w:t>
      </w:r>
      <w:r>
        <w:rPr>
          <w:sz w:val="19"/>
        </w:rPr>
        <w:t>possession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Property</w:t>
      </w:r>
      <w:r>
        <w:rPr>
          <w:spacing w:val="-3"/>
          <w:sz w:val="19"/>
        </w:rPr>
        <w:t> </w:t>
      </w:r>
      <w:r>
        <w:rPr>
          <w:sz w:val="19"/>
        </w:rPr>
        <w:t>using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lawful</w:t>
      </w:r>
      <w:r>
        <w:rPr>
          <w:spacing w:val="-3"/>
          <w:sz w:val="19"/>
        </w:rPr>
        <w:t> </w:t>
      </w:r>
      <w:r>
        <w:rPr>
          <w:sz w:val="19"/>
        </w:rPr>
        <w:t>ground</w:t>
      </w:r>
      <w:r>
        <w:rPr>
          <w:spacing w:val="-3"/>
          <w:sz w:val="19"/>
        </w:rPr>
        <w:t> </w:t>
      </w:r>
      <w:r>
        <w:rPr>
          <w:sz w:val="19"/>
        </w:rPr>
        <w:t>specified under Section 8 of the Housing Act 1988 (as amended by the Renters’ Rights Act 2026), for example: sale of the property, occupation by the landlord, or rent arrears. Section 21 ‘no-fault’ evictions are </w:t>
      </w:r>
      <w:r>
        <w:rPr>
          <w:spacing w:val="-2"/>
          <w:sz w:val="19"/>
        </w:rPr>
        <w:t>abolished.</w:t>
      </w:r>
    </w:p>
    <w:p>
      <w:pPr>
        <w:pStyle w:val="Heading1"/>
        <w:numPr>
          <w:ilvl w:val="0"/>
          <w:numId w:val="2"/>
        </w:numPr>
        <w:tabs>
          <w:tab w:pos="245" w:val="left" w:leader="none"/>
        </w:tabs>
        <w:spacing w:line="240" w:lineRule="auto" w:before="112" w:after="0"/>
        <w:ind w:left="245" w:right="0" w:hanging="222"/>
        <w:jc w:val="left"/>
      </w:pPr>
      <w:r>
        <w:rPr>
          <w:spacing w:val="-2"/>
        </w:rPr>
        <w:t>Signatures</w:t>
      </w:r>
    </w:p>
    <w:p>
      <w:pPr>
        <w:pStyle w:val="Heading2"/>
        <w:tabs>
          <w:tab w:pos="3105" w:val="left" w:leader="none"/>
          <w:tab w:pos="9090" w:val="left" w:leader="none"/>
        </w:tabs>
        <w:spacing w:line="396" w:lineRule="auto" w:before="100"/>
      </w:pPr>
      <w:r>
        <w:rPr/>
        <w:t>Signed by the Landlord:</w:t>
      </w:r>
      <w:r>
        <w:rPr>
          <w:spacing w:val="106"/>
        </w:rPr>
        <w:t> </w:t>
      </w:r>
      <w:r>
        <w:rPr>
          <w:u w:val="single"/>
        </w:rPr>
        <w:tab/>
        <w:tab/>
      </w:r>
      <w:r>
        <w:rPr/>
        <w:t> Date:</w:t>
      </w:r>
      <w:r>
        <w:rPr>
          <w:spacing w:val="106"/>
        </w:rPr>
        <w:t> </w:t>
      </w:r>
      <w:r>
        <w:rPr>
          <w:u w:val="single"/>
        </w:rPr>
        <w:tab/>
      </w:r>
    </w:p>
    <w:p>
      <w:pPr>
        <w:tabs>
          <w:tab w:pos="3105" w:val="left" w:leader="none"/>
          <w:tab w:pos="9090" w:val="left" w:leader="none"/>
        </w:tabs>
        <w:spacing w:line="396" w:lineRule="auto" w:before="159"/>
        <w:ind w:left="23" w:right="121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by the Tenant(s):</w:t>
      </w:r>
      <w:r>
        <w:rPr>
          <w:rFonts w:ascii="Arial"/>
          <w:b/>
          <w:spacing w:val="106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Date:</w:t>
      </w:r>
      <w:r>
        <w:rPr>
          <w:rFonts w:ascii="Arial"/>
          <w:b/>
          <w:spacing w:val="106"/>
          <w:sz w:val="19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ind w:left="0" w:firstLine="0"/>
        <w:rPr>
          <w:rFonts w:ascii="Arial"/>
          <w:b/>
          <w:sz w:val="17"/>
        </w:rPr>
      </w:pPr>
    </w:p>
    <w:p>
      <w:pPr>
        <w:spacing w:line="343" w:lineRule="auto" w:before="0"/>
        <w:ind w:left="23" w:right="158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Landlords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must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ensure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they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are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registered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on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National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Landlord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Database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and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must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provide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Tenant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with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 ‘How to Rent’ guide, a current Energy Performance Certificate (EPC), and a valid Gas Safety Certificate prior to the commencement of the tenancy in order to remain legally compliant.</w:t>
      </w:r>
    </w:p>
    <w:sectPr>
      <w:pgSz w:w="11910" w:h="16840"/>
      <w:pgMar w:header="0" w:footer="885" w:top="1360" w:bottom="10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6256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https://legalsheets.co.uk/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r>
                      <w:rPr>
                        <w:spacing w:val="-2"/>
                        <w:sz w:val="13"/>
                      </w:rPr>
                      <w:t>https://legalsheets.co.uk/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5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3" w:hanging="20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1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3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9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5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1" w:hanging="2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3" w:hanging="20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7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4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9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6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4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1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2"/>
      <w:ind w:left="343" w:hanging="200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45" w:hanging="22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" w:right="121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right="139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343" w:hanging="20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Tenancy Agreement UK</dc:title>
  <dcterms:created xsi:type="dcterms:W3CDTF">2026-06-04T15:01:57Z</dcterms:created>
  <dcterms:modified xsi:type="dcterms:W3CDTF">2026-06-04T15:01:57Z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2026-06-04T00:00:00Z</vt:filetime>
  </property>
  <property fmtid="{D5CDD505-2E9C-101B-9397-08002B2CF9AE}" pid="5" name="Producer">
    <vt:lpwstr>ReportLab PDF Library - (opensource)</vt:lpwstr>
  </property>
</Properties>
</file>