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HMO Tenancy Agreement </w:t>
      </w:r>
      <w:r>
        <w:rPr>
          <w:spacing w:val="-5"/>
        </w:rPr>
        <w:t>UK</w:t>
      </w:r>
    </w:p>
    <w:p>
      <w:pPr>
        <w:pStyle w:val="BodyText"/>
        <w:spacing w:before="10"/>
        <w:ind w:left="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1" w:lineRule="auto" w:before="5"/>
        <w:ind w:left="1031" w:right="190" w:hanging="122"/>
        <w:jc w:val="left"/>
        <w:rPr>
          <w:sz w:val="16"/>
        </w:rPr>
      </w:pPr>
      <w:r>
        <w:rPr>
          <w:sz w:val="16"/>
        </w:rPr>
        <w:t>Governed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Housing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1988</w:t>
      </w:r>
      <w:r>
        <w:rPr>
          <w:spacing w:val="-3"/>
          <w:sz w:val="16"/>
        </w:rPr>
        <w:t> </w:t>
      </w:r>
      <w:r>
        <w:rPr>
          <w:sz w:val="16"/>
        </w:rPr>
        <w:t>(as</w:t>
      </w:r>
      <w:r>
        <w:rPr>
          <w:spacing w:val="-3"/>
          <w:sz w:val="16"/>
        </w:rPr>
        <w:t> </w:t>
      </w:r>
      <w:r>
        <w:rPr>
          <w:sz w:val="16"/>
        </w:rPr>
        <w:t>amended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Renters'</w:t>
      </w:r>
      <w:r>
        <w:rPr>
          <w:spacing w:val="-3"/>
          <w:sz w:val="16"/>
        </w:rPr>
        <w:t> </w:t>
      </w:r>
      <w:r>
        <w:rPr>
          <w:sz w:val="16"/>
        </w:rPr>
        <w:t>Rights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2025),</w:t>
      </w:r>
      <w:r>
        <w:rPr>
          <w:spacing w:val="-3"/>
          <w:sz w:val="16"/>
        </w:rPr>
        <w:t> </w:t>
      </w:r>
      <w:r>
        <w:rPr>
          <w:sz w:val="16"/>
        </w:rPr>
        <w:t>Housing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2004</w:t>
      </w:r>
      <w:r>
        <w:rPr>
          <w:spacing w:val="-3"/>
          <w:sz w:val="16"/>
        </w:rPr>
        <w:t> </w:t>
      </w:r>
      <w:r>
        <w:rPr>
          <w:sz w:val="16"/>
        </w:rPr>
        <w:t>(Part</w:t>
      </w:r>
      <w:r>
        <w:rPr>
          <w:spacing w:val="-3"/>
          <w:sz w:val="16"/>
        </w:rPr>
        <w:t> </w:t>
      </w:r>
      <w:r>
        <w:rPr>
          <w:sz w:val="16"/>
        </w:rPr>
        <w:t>2), Management of Houses in Multiple Occupation (England) Regulations 2006, Tenant Fees Act 2019</w:t>
      </w:r>
    </w:p>
    <w:p>
      <w:pPr>
        <w:pStyle w:val="Heading2"/>
        <w:spacing w:before="110"/>
        <w:ind w:firstLine="0"/>
      </w:pPr>
      <w:r>
        <w:rPr/>
        <w:t>This Tenancy Agreement is made </w:t>
      </w:r>
      <w:r>
        <w:rPr>
          <w:spacing w:val="-2"/>
        </w:rPr>
        <w:t>between: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9090" w:val="left" w:leader="none"/>
        </w:tabs>
        <w:spacing w:line="240" w:lineRule="auto" w:before="10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Name: </w:t>
      </w:r>
      <w:r>
        <w:rPr>
          <w:sz w:val="19"/>
          <w:u w:val="single"/>
        </w:rPr>
        <w:tab/>
      </w:r>
    </w:p>
    <w:p>
      <w:pPr>
        <w:pStyle w:val="Heading2"/>
        <w:numPr>
          <w:ilvl w:val="0"/>
          <w:numId w:val="1"/>
        </w:numPr>
        <w:tabs>
          <w:tab w:pos="515" w:val="left" w:leader="none"/>
          <w:tab w:pos="9090" w:val="left" w:leader="none"/>
        </w:tabs>
        <w:spacing w:line="240" w:lineRule="auto" w:before="61" w:after="0"/>
        <w:ind w:left="515" w:right="0" w:hanging="172"/>
        <w:jc w:val="left"/>
      </w:pPr>
      <w:r>
        <w:rPr/>
        <w:t>Address: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Tenant(s): </w:t>
      </w:r>
      <w:r>
        <w:rPr>
          <w:sz w:val="19"/>
        </w:rPr>
        <w:t>Full Name(s):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3290" w:val="left" w:leader="none"/>
        </w:tabs>
        <w:spacing w:line="240" w:lineRule="auto" w:before="61" w:after="0"/>
        <w:ind w:left="515" w:right="0" w:hanging="1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Date: </w:t>
      </w:r>
      <w:r>
        <w:rPr>
          <w:rFonts w:ascii="Arial" w:hAnsi="Arial"/>
          <w:b/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33" w:after="0"/>
        <w:ind w:left="245" w:right="0" w:hanging="222"/>
        <w:jc w:val="left"/>
      </w:pPr>
      <w:r>
        <w:rPr/>
        <w:t>The Room and Nature of </w:t>
      </w:r>
      <w:r>
        <w:rPr>
          <w:spacing w:val="-2"/>
        </w:rPr>
        <w:t>Occupation</w:t>
      </w:r>
    </w:p>
    <w:p>
      <w:pPr>
        <w:pStyle w:val="BodyText"/>
        <w:tabs>
          <w:tab w:pos="5713" w:val="left" w:leader="none"/>
        </w:tabs>
        <w:spacing w:before="99"/>
      </w:pPr>
      <w:r>
        <w:rPr/>
        <w:t>The Landlord hereby lets to the Tenant the </w:t>
      </w:r>
      <w:r>
        <w:rPr>
          <w:u w:val="single"/>
        </w:rPr>
        <w:tab/>
      </w:r>
      <w:r>
        <w:rPr/>
        <w:t>room in the HMO </w:t>
      </w:r>
      <w:r>
        <w:rPr>
          <w:spacing w:val="-5"/>
        </w:rPr>
        <w:t>at:</w:t>
      </w:r>
    </w:p>
    <w:p>
      <w:pPr>
        <w:pStyle w:val="BodyText"/>
        <w:tabs>
          <w:tab w:pos="2767" w:val="left" w:leader="none"/>
          <w:tab w:pos="9090" w:val="left" w:leader="none"/>
        </w:tabs>
        <w:spacing w:line="307" w:lineRule="auto" w:before="62"/>
        <w:ind w:right="121"/>
      </w:pPr>
      <w:r>
        <w:rPr/>
        <w:t>Full Property Address: </w:t>
      </w:r>
      <w:r>
        <w:rPr>
          <w:u w:val="single"/>
        </w:rPr>
        <w:tab/>
        <w:tab/>
      </w:r>
      <w:r>
        <w:rPr/>
        <w:t> Postcode: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952" w:val="left" w:leader="none"/>
          <w:tab w:pos="9090" w:val="left" w:leader="none"/>
        </w:tabs>
        <w:spacing w:line="240" w:lineRule="auto" w:before="40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HMO Licence Number: </w:t>
      </w:r>
      <w:r>
        <w:rPr>
          <w:rFonts w:ascii="Arial" w:hAnsi="Arial"/>
          <w:b/>
          <w:sz w:val="19"/>
          <w:u w:val="single"/>
        </w:rPr>
        <w:tab/>
      </w:r>
      <w:r>
        <w:rPr>
          <w:rFonts w:ascii="Arial" w:hAnsi="Arial"/>
          <w:b/>
          <w:spacing w:val="40"/>
          <w:sz w:val="19"/>
        </w:rPr>
        <w:t> </w:t>
      </w:r>
      <w:r>
        <w:rPr>
          <w:sz w:val="19"/>
        </w:rPr>
        <w:t>Expiry: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493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Property Manager: </w:t>
      </w:r>
      <w:r>
        <w:rPr>
          <w:rFonts w:ascii="Arial" w:hAnsi="Arial"/>
          <w:b/>
          <w:sz w:val="19"/>
          <w:u w:val="single"/>
        </w:rPr>
        <w:tab/>
      </w:r>
      <w:r>
        <w:rPr>
          <w:rFonts w:ascii="Arial" w:hAnsi="Arial"/>
          <w:b/>
          <w:spacing w:val="40"/>
          <w:sz w:val="19"/>
        </w:rPr>
        <w:t> </w:t>
      </w:r>
      <w:r>
        <w:rPr>
          <w:sz w:val="19"/>
        </w:rPr>
        <w:t>Tel: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312" w:val="left" w:leader="none"/>
        </w:tabs>
        <w:spacing w:line="240" w:lineRule="auto" w:before="61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Permitted Occupiers: </w:t>
      </w:r>
      <w:r>
        <w:rPr>
          <w:sz w:val="19"/>
        </w:rPr>
        <w:t>Maximum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5327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Condition: </w:t>
      </w:r>
      <w:r>
        <w:rPr>
          <w:sz w:val="19"/>
        </w:rPr>
        <w:t>The room is let as </w:t>
      </w:r>
      <w:r>
        <w:rPr>
          <w:sz w:val="19"/>
          <w:u w:val="single"/>
        </w:rPr>
        <w:tab/>
      </w:r>
      <w:r>
        <w:rPr>
          <w:sz w:val="19"/>
        </w:rPr>
        <w:t>with an inventory dated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32" w:after="0"/>
        <w:ind w:left="245" w:right="0" w:hanging="222"/>
        <w:jc w:val="left"/>
      </w:pPr>
      <w:r>
        <w:rPr/>
        <w:t>Tenancy Type and Start </w:t>
      </w:r>
      <w:r>
        <w:rPr>
          <w:spacing w:val="-4"/>
        </w:rPr>
        <w:t>Date</w:t>
      </w:r>
    </w:p>
    <w:p>
      <w:pPr>
        <w:pStyle w:val="BodyText"/>
        <w:spacing w:line="307" w:lineRule="auto" w:before="99"/>
        <w:ind w:right="190"/>
      </w:pPr>
      <w:r>
        <w:rPr/>
        <w:t>This Agreement creates an assured periodic tenancy under the Housing Act 1988 as amended by the Renters'</w:t>
      </w:r>
      <w:r>
        <w:rPr>
          <w:spacing w:val="-2"/>
        </w:rPr>
        <w:t> </w:t>
      </w:r>
      <w:r>
        <w:rPr/>
        <w:t>Rights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2025.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fixed</w:t>
      </w:r>
      <w:r>
        <w:rPr>
          <w:spacing w:val="-2"/>
        </w:rPr>
        <w:t> </w:t>
      </w:r>
      <w:r>
        <w:rPr/>
        <w:t>term</w:t>
      </w:r>
      <w:r>
        <w:rPr>
          <w:spacing w:val="-2"/>
        </w:rPr>
        <w:t> </w:t>
      </w:r>
      <w:r>
        <w:rPr/>
        <w:t>applies;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tenancy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open-ended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rolling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start</w:t>
      </w:r>
      <w:r>
        <w:rPr>
          <w:spacing w:val="-2"/>
        </w:rPr>
        <w:t> </w:t>
      </w:r>
      <w:r>
        <w:rPr/>
        <w:t>date.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</w:tabs>
        <w:spacing w:line="240" w:lineRule="auto" w:before="41" w:after="0"/>
        <w:ind w:left="515" w:right="0" w:hanging="172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3124612</wp:posOffset>
                </wp:positionH>
                <wp:positionV relativeFrom="paragraph">
                  <wp:posOffset>152091</wp:posOffset>
                </wp:positionV>
                <wp:extent cx="11430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46.032501pt,11.975683pt" to="336.032501pt,11.97568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w:t>Start Date: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The tenancy begins </w:t>
      </w:r>
      <w:r>
        <w:rPr>
          <w:spacing w:val="-5"/>
          <w:sz w:val="19"/>
        </w:rPr>
        <w:t>on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4244244</wp:posOffset>
                </wp:positionH>
                <wp:positionV relativeFrom="paragraph">
                  <wp:posOffset>165120</wp:posOffset>
                </wp:positionV>
                <wp:extent cx="23983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9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8395" h="0">
                              <a:moveTo>
                                <a:pt x="0" y="0"/>
                              </a:moveTo>
                              <a:lnTo>
                                <a:pt x="23978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34.192505pt,13.001612pt" to="523.000005pt,13.00161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w:t>Rental Period: </w:t>
      </w:r>
      <w:r>
        <w:rPr>
          <w:sz w:val="19"/>
        </w:rPr>
        <w:t>Rolling periodic tenancy with a period </w:t>
      </w:r>
      <w:r>
        <w:rPr>
          <w:spacing w:val="-5"/>
          <w:sz w:val="19"/>
        </w:rPr>
        <w:t>of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32" w:after="0"/>
        <w:ind w:left="245" w:right="0" w:hanging="222"/>
        <w:jc w:val="left"/>
      </w:pPr>
      <w:r>
        <w:rPr/>
        <w:t>Rent and Payment </w:t>
      </w:r>
      <w:r>
        <w:rPr>
          <w:spacing w:val="-2"/>
        </w:rPr>
        <w:t>Terms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3825" w:val="left" w:leader="none"/>
          <w:tab w:pos="9090" w:val="left" w:leader="none"/>
        </w:tabs>
        <w:spacing w:line="240" w:lineRule="auto" w:before="99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z w:val="19"/>
        </w:rPr>
        <w:t>The Rent is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per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445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Payment: </w:t>
      </w:r>
      <w:r>
        <w:rPr>
          <w:sz w:val="19"/>
        </w:rPr>
        <w:t>Payable in advance on </w:t>
      </w:r>
      <w:r>
        <w:rPr>
          <w:sz w:val="19"/>
          <w:u w:val="single"/>
        </w:rPr>
        <w:tab/>
      </w:r>
      <w:r>
        <w:rPr>
          <w:sz w:val="19"/>
        </w:rPr>
        <w:t>by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2309" w:val="left" w:leader="none"/>
        </w:tabs>
        <w:spacing w:line="307" w:lineRule="auto" w:before="61" w:after="0"/>
        <w:ind w:left="2309" w:right="184" w:hanging="1967"/>
        <w:jc w:val="left"/>
        <w:rPr>
          <w:sz w:val="19"/>
        </w:rPr>
      </w:pPr>
      <w:r>
        <w:rPr>
          <w:rFonts w:ascii="Arial" w:hAnsi="Arial"/>
          <w:b/>
          <w:sz w:val="19"/>
        </w:rPr>
        <w:t>Advance Rent Cap: </w:t>
      </w:r>
      <w:r>
        <w:rPr>
          <w:sz w:val="19"/>
        </w:rPr>
        <w:t>No more than one month's rent may be demanded or accepted as advance</w:t>
      </w:r>
      <w:r>
        <w:rPr>
          <w:spacing w:val="40"/>
          <w:sz w:val="19"/>
        </w:rPr>
        <w:t> </w:t>
      </w:r>
      <w:r>
        <w:rPr>
          <w:sz w:val="19"/>
        </w:rPr>
        <w:t>rent.</w:t>
      </w:r>
      <w:r>
        <w:rPr>
          <w:spacing w:val="-3"/>
          <w:sz w:val="19"/>
        </w:rPr>
        <w:t> </w:t>
      </w:r>
      <w:r>
        <w:rPr>
          <w:sz w:val="19"/>
        </w:rPr>
        <w:t>Demanding</w:t>
      </w:r>
      <w:r>
        <w:rPr>
          <w:spacing w:val="-3"/>
          <w:sz w:val="19"/>
        </w:rPr>
        <w:t> </w:t>
      </w:r>
      <w:r>
        <w:rPr>
          <w:sz w:val="19"/>
        </w:rPr>
        <w:t>excess</w:t>
      </w:r>
      <w:r>
        <w:rPr>
          <w:spacing w:val="-3"/>
          <w:sz w:val="19"/>
        </w:rPr>
        <w:t> </w:t>
      </w:r>
      <w:r>
        <w:rPr>
          <w:sz w:val="19"/>
        </w:rPr>
        <w:t>advance</w:t>
      </w:r>
      <w:r>
        <w:rPr>
          <w:spacing w:val="-3"/>
          <w:sz w:val="19"/>
        </w:rPr>
        <w:t> </w:t>
      </w:r>
      <w:r>
        <w:rPr>
          <w:sz w:val="19"/>
        </w:rPr>
        <w:t>rent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prohibited</w:t>
      </w:r>
      <w:r>
        <w:rPr>
          <w:spacing w:val="-3"/>
          <w:sz w:val="19"/>
        </w:rPr>
        <w:t> </w:t>
      </w:r>
      <w:r>
        <w:rPr>
          <w:sz w:val="19"/>
        </w:rPr>
        <w:t>payment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 Fees Act 2019.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855" w:val="left" w:leader="none"/>
          <w:tab w:pos="4644" w:val="left" w:leader="none"/>
        </w:tabs>
        <w:spacing w:line="307" w:lineRule="auto" w:before="1" w:after="0"/>
        <w:ind w:left="1855" w:right="606" w:hanging="1513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Advertised rent: £</w:t>
      </w:r>
      <w:r>
        <w:rPr>
          <w:sz w:val="19"/>
          <w:u w:val="single"/>
        </w:rPr>
        <w:tab/>
      </w:r>
      <w:r>
        <w:rPr>
          <w:sz w:val="19"/>
        </w:rPr>
        <w:t>.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Landlord</w:t>
      </w:r>
      <w:r>
        <w:rPr>
          <w:spacing w:val="-5"/>
          <w:sz w:val="19"/>
        </w:rPr>
        <w:t> </w:t>
      </w:r>
      <w:r>
        <w:rPr>
          <w:sz w:val="19"/>
        </w:rPr>
        <w:t>confirms</w:t>
      </w:r>
      <w:r>
        <w:rPr>
          <w:spacing w:val="-5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payment</w:t>
      </w:r>
      <w:r>
        <w:rPr>
          <w:spacing w:val="-5"/>
          <w:sz w:val="19"/>
        </w:rPr>
        <w:t> </w:t>
      </w:r>
      <w:r>
        <w:rPr>
          <w:sz w:val="19"/>
        </w:rPr>
        <w:t>above</w:t>
      </w:r>
      <w:r>
        <w:rPr>
          <w:spacing w:val="-5"/>
          <w:sz w:val="19"/>
        </w:rPr>
        <w:t> </w:t>
      </w:r>
      <w:r>
        <w:rPr>
          <w:sz w:val="19"/>
        </w:rPr>
        <w:t>this figure has been invited or accepted.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07" w:val="left" w:leader="none"/>
        </w:tabs>
        <w:spacing w:line="307" w:lineRule="auto" w:before="1" w:after="0"/>
        <w:ind w:left="1507" w:right="402" w:hanging="1165"/>
        <w:jc w:val="left"/>
        <w:rPr>
          <w:sz w:val="19"/>
        </w:rPr>
      </w:pPr>
      <w:r>
        <w:rPr>
          <w:rFonts w:ascii="Arial" w:hAnsi="Arial"/>
          <w:b/>
          <w:sz w:val="19"/>
        </w:rPr>
        <w:t>Increases: </w:t>
      </w:r>
      <w:r>
        <w:rPr>
          <w:sz w:val="19"/>
        </w:rPr>
        <w:t>Rent may only be increased once per calendar year via the Section 13 statutory procedure,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minimum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2</w:t>
      </w:r>
      <w:r>
        <w:rPr>
          <w:spacing w:val="-3"/>
          <w:sz w:val="19"/>
        </w:rPr>
        <w:t> </w:t>
      </w:r>
      <w:r>
        <w:rPr>
          <w:sz w:val="19"/>
        </w:rPr>
        <w:t>months'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notice.</w:t>
      </w:r>
      <w:r>
        <w:rPr>
          <w:spacing w:val="-3"/>
          <w:sz w:val="19"/>
        </w:rPr>
        <w:t> </w:t>
      </w:r>
      <w:r>
        <w:rPr>
          <w:sz w:val="19"/>
        </w:rPr>
        <w:t>Contractual</w:t>
      </w:r>
      <w:r>
        <w:rPr>
          <w:spacing w:val="-3"/>
          <w:sz w:val="19"/>
        </w:rPr>
        <w:t> </w:t>
      </w:r>
      <w:r>
        <w:rPr>
          <w:sz w:val="19"/>
        </w:rPr>
        <w:t>rent-review</w:t>
      </w:r>
      <w:r>
        <w:rPr>
          <w:spacing w:val="-3"/>
          <w:sz w:val="19"/>
        </w:rPr>
        <w:t> </w:t>
      </w:r>
      <w:r>
        <w:rPr>
          <w:sz w:val="19"/>
        </w:rPr>
        <w:t>clauses are void.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31" w:after="0"/>
        <w:ind w:left="245" w:right="0" w:hanging="222"/>
        <w:jc w:val="left"/>
      </w:pPr>
      <w:r>
        <w:rPr/>
        <w:t>Shared </w:t>
      </w:r>
      <w:r>
        <w:rPr>
          <w:spacing w:val="-2"/>
        </w:rPr>
        <w:t>Areas</w:t>
      </w:r>
    </w:p>
    <w:p>
      <w:pPr>
        <w:pStyle w:val="BodyText"/>
        <w:tabs>
          <w:tab w:pos="9090" w:val="left" w:leader="none"/>
        </w:tabs>
        <w:spacing w:before="100"/>
      </w:pPr>
      <w:r>
        <w:rPr/>
        <w:t>The Tenant shall have shared access to: </w:t>
      </w:r>
      <w:r>
        <w:rPr>
          <w:u w:val="single"/>
        </w:rPr>
        <w:tab/>
      </w:r>
    </w:p>
    <w:p>
      <w:pPr>
        <w:pStyle w:val="BodyText"/>
        <w:spacing w:before="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165033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994776pt;width:451pt;height:.1pt;mso-position-horizontal-relative:page;mso-position-vertical-relative:paragraph;z-index:-15728128;mso-wrap-distance-left:0;mso-wrap-distance-right:0" id="docshape3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47" w:after="0"/>
        <w:ind w:left="245" w:right="0" w:hanging="222"/>
        <w:jc w:val="left"/>
      </w:pPr>
      <w:r>
        <w:rPr/>
        <w:t>Landlord and Tenant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328" w:val="left" w:leader="none"/>
        </w:tabs>
        <w:spacing w:line="307" w:lineRule="auto" w:before="100" w:after="0"/>
        <w:ind w:left="1328" w:right="394" w:hanging="986"/>
        <w:jc w:val="left"/>
        <w:rPr>
          <w:sz w:val="19"/>
        </w:rPr>
      </w:pPr>
      <w:r>
        <w:rPr>
          <w:rFonts w:ascii="Arial" w:hAnsi="Arial"/>
          <w:b/>
          <w:sz w:val="19"/>
        </w:rPr>
        <w:t>Repairs: </w:t>
      </w:r>
      <w:r>
        <w:rPr>
          <w:sz w:val="19"/>
        </w:rPr>
        <w:t>The Landlord shall maintain the structure, exterior, and all shared installations in accordance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11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1985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Management</w:t>
      </w:r>
      <w:r>
        <w:rPr>
          <w:spacing w:val="-3"/>
          <w:sz w:val="19"/>
        </w:rPr>
        <w:t> </w:t>
      </w:r>
      <w:r>
        <w:rPr>
          <w:sz w:val="19"/>
        </w:rPr>
        <w:t>of Houses in Multiple Occupation (England) Regulations 2006.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729" w:val="left" w:leader="none"/>
        </w:tabs>
        <w:spacing w:line="307" w:lineRule="auto" w:before="1" w:after="0"/>
        <w:ind w:left="1729" w:right="216" w:hanging="1387"/>
        <w:jc w:val="left"/>
        <w:rPr>
          <w:sz w:val="19"/>
        </w:rPr>
      </w:pP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Care: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their</w:t>
      </w:r>
      <w:r>
        <w:rPr>
          <w:spacing w:val="-2"/>
          <w:sz w:val="19"/>
        </w:rPr>
        <w:t> </w:t>
      </w:r>
      <w:r>
        <w:rPr>
          <w:sz w:val="19"/>
        </w:rPr>
        <w:t>room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shared</w:t>
      </w:r>
      <w:r>
        <w:rPr>
          <w:spacing w:val="-2"/>
          <w:sz w:val="19"/>
        </w:rPr>
        <w:t> </w:t>
      </w:r>
      <w:r>
        <w:rPr>
          <w:sz w:val="19"/>
        </w:rPr>
        <w:t>spaces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tenant-like</w:t>
      </w:r>
      <w:r>
        <w:rPr>
          <w:spacing w:val="-2"/>
          <w:sz w:val="19"/>
        </w:rPr>
        <w:t> </w:t>
      </w:r>
      <w:r>
        <w:rPr>
          <w:sz w:val="19"/>
        </w:rPr>
        <w:t>manner,</w:t>
      </w:r>
      <w:r>
        <w:rPr>
          <w:spacing w:val="-2"/>
          <w:sz w:val="19"/>
        </w:rPr>
        <w:t> </w:t>
      </w:r>
      <w:r>
        <w:rPr>
          <w:sz w:val="19"/>
        </w:rPr>
        <w:t>fair</w:t>
      </w:r>
      <w:r>
        <w:rPr>
          <w:spacing w:val="-2"/>
          <w:sz w:val="19"/>
        </w:rPr>
        <w:t> </w:t>
      </w:r>
      <w:r>
        <w:rPr>
          <w:sz w:val="19"/>
        </w:rPr>
        <w:t>wear and tear excepted, and shall not cause damage or nuisance to other occupants.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950" w:val="left" w:leader="none"/>
        </w:tabs>
        <w:spacing w:line="307" w:lineRule="auto" w:before="0" w:after="0"/>
        <w:ind w:left="1950" w:right="343" w:hanging="1608"/>
        <w:jc w:val="left"/>
        <w:rPr>
          <w:sz w:val="19"/>
        </w:rPr>
      </w:pPr>
      <w:r>
        <w:rPr>
          <w:rFonts w:ascii="Arial" w:hAnsi="Arial"/>
          <w:b/>
          <w:sz w:val="19"/>
        </w:rPr>
        <w:t>Discrimination: </w:t>
      </w:r>
      <w:r>
        <w:rPr>
          <w:sz w:val="19"/>
        </w:rPr>
        <w:t>The Landlord shall not discriminate against the Tenant on any protected characteristic,</w:t>
      </w:r>
      <w:r>
        <w:rPr>
          <w:spacing w:val="-4"/>
          <w:sz w:val="19"/>
        </w:rPr>
        <w:t> </w:t>
      </w:r>
      <w:r>
        <w:rPr>
          <w:sz w:val="19"/>
        </w:rPr>
        <w:t>including</w:t>
      </w:r>
      <w:r>
        <w:rPr>
          <w:spacing w:val="-4"/>
          <w:sz w:val="19"/>
        </w:rPr>
        <w:t> </w:t>
      </w:r>
      <w:r>
        <w:rPr>
          <w:sz w:val="19"/>
        </w:rPr>
        <w:t>receipt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welfare</w:t>
      </w:r>
      <w:r>
        <w:rPr>
          <w:spacing w:val="-4"/>
          <w:sz w:val="19"/>
        </w:rPr>
        <w:t> </w:t>
      </w:r>
      <w:r>
        <w:rPr>
          <w:sz w:val="19"/>
        </w:rPr>
        <w:t>benefits,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accordance</w:t>
      </w:r>
      <w:r>
        <w:rPr>
          <w:spacing w:val="-4"/>
          <w:sz w:val="19"/>
        </w:rPr>
        <w:t> </w:t>
      </w:r>
      <w:r>
        <w:rPr>
          <w:sz w:val="19"/>
        </w:rPr>
        <w:t>with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Equality Act 2010.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32" w:after="0"/>
        <w:ind w:left="245" w:right="0" w:hanging="222"/>
        <w:jc w:val="left"/>
      </w:pPr>
      <w:r>
        <w:rPr/>
        <w:t>Access and </w:t>
      </w:r>
      <w:r>
        <w:rPr>
          <w:spacing w:val="-2"/>
        </w:rPr>
        <w:t>Inspection</w:t>
      </w:r>
    </w:p>
    <w:p>
      <w:pPr>
        <w:pStyle w:val="BodyText"/>
        <w:spacing w:before="99"/>
      </w:pPr>
      <w:r>
        <w:rPr/>
        <w:t>The Tenant shall permit the Landlord or the Landlord's agents access to the room and common parts </w:t>
      </w:r>
      <w:r>
        <w:rPr>
          <w:spacing w:val="-5"/>
        </w:rPr>
        <w:t>at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885" w:top="860" w:bottom="1080" w:left="1417" w:right="1275"/>
          <w:pgNumType w:start="1"/>
        </w:sectPr>
      </w:pPr>
    </w:p>
    <w:p>
      <w:pPr>
        <w:tabs>
          <w:tab w:pos="853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HMO Tenancy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6592;mso-wrap-distance-left:0;mso-wrap-distance-right:0" id="docshape4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07" w:lineRule="auto" w:before="116"/>
      </w:pPr>
      <w:r>
        <w:rPr/>
        <w:t>reasonable</w:t>
      </w:r>
      <w:r>
        <w:rPr>
          <w:spacing w:val="-2"/>
        </w:rPr>
        <w:t> </w:t>
      </w:r>
      <w:r>
        <w:rPr/>
        <w:t>times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inspection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repairs,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hours'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given, except in genuine emergencies.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/>
        <w:t>Ending the </w:t>
      </w:r>
      <w:r>
        <w:rPr>
          <w:spacing w:val="-2"/>
        </w:rPr>
        <w:t>Tenancy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49" w:val="left" w:leader="none"/>
        </w:tabs>
        <w:spacing w:line="307" w:lineRule="auto" w:before="99" w:after="0"/>
        <w:ind w:left="1549" w:right="338" w:hanging="120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Tenant: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periodic</w:t>
      </w:r>
      <w:r>
        <w:rPr>
          <w:spacing w:val="-2"/>
          <w:sz w:val="19"/>
        </w:rPr>
        <w:t> </w:t>
      </w:r>
      <w:r>
        <w:rPr>
          <w:sz w:val="19"/>
        </w:rPr>
        <w:t>tenancy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time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giving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less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months' written notice to the Landlord, expiring at the end of a rental period.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739" w:val="left" w:leader="none"/>
        </w:tabs>
        <w:spacing w:line="307" w:lineRule="auto" w:before="1" w:after="0"/>
        <w:ind w:left="1739" w:right="236" w:hanging="1397"/>
        <w:jc w:val="left"/>
        <w:rPr>
          <w:sz w:val="19"/>
        </w:rPr>
      </w:pPr>
      <w:r>
        <w:rPr>
          <w:rFonts w:ascii="Arial" w:hAnsi="Arial"/>
          <w:b/>
          <w:sz w:val="19"/>
        </w:rPr>
        <w:t>By Landlord: </w:t>
      </w:r>
      <w:r>
        <w:rPr>
          <w:sz w:val="19"/>
        </w:rPr>
        <w:t>The Landlord may only seek possession via a valid ground under section 8 of the Housing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1988.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21</w:t>
      </w:r>
      <w:r>
        <w:rPr>
          <w:spacing w:val="-3"/>
          <w:sz w:val="19"/>
        </w:rPr>
        <w:t> </w:t>
      </w:r>
      <w:r>
        <w:rPr>
          <w:sz w:val="19"/>
        </w:rPr>
        <w:t>no-fault</w:t>
      </w:r>
      <w:r>
        <w:rPr>
          <w:spacing w:val="-3"/>
          <w:sz w:val="19"/>
        </w:rPr>
        <w:t> </w:t>
      </w:r>
      <w:r>
        <w:rPr>
          <w:sz w:val="19"/>
        </w:rPr>
        <w:t>evictions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3"/>
          <w:sz w:val="19"/>
        </w:rPr>
        <w:t> </w:t>
      </w:r>
      <w:r>
        <w:rPr>
          <w:sz w:val="19"/>
        </w:rPr>
        <w:t>abolished.</w:t>
      </w:r>
      <w:r>
        <w:rPr>
          <w:spacing w:val="-3"/>
          <w:sz w:val="19"/>
        </w:rPr>
        <w:t> </w:t>
      </w:r>
      <w:r>
        <w:rPr>
          <w:sz w:val="19"/>
        </w:rPr>
        <w:t>Grounds</w:t>
      </w:r>
      <w:r>
        <w:rPr>
          <w:spacing w:val="-3"/>
          <w:sz w:val="19"/>
        </w:rPr>
        <w:t> </w:t>
      </w:r>
      <w:r>
        <w:rPr>
          <w:sz w:val="19"/>
        </w:rPr>
        <w:t>1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1A</w:t>
      </w:r>
      <w:r>
        <w:rPr>
          <w:spacing w:val="-3"/>
          <w:sz w:val="19"/>
        </w:rPr>
        <w:t> </w:t>
      </w:r>
      <w:r>
        <w:rPr>
          <w:sz w:val="19"/>
        </w:rPr>
        <w:t>may not be used within the first 12 months.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32" w:after="0"/>
        <w:ind w:left="245" w:right="0" w:hanging="222"/>
        <w:jc w:val="left"/>
      </w:pPr>
      <w:r>
        <w:rPr/>
        <w:t>Security </w:t>
      </w:r>
      <w:r>
        <w:rPr>
          <w:spacing w:val="-2"/>
        </w:rPr>
        <w:t>Deposit</w:t>
      </w:r>
    </w:p>
    <w:p>
      <w:pPr>
        <w:pStyle w:val="Heading2"/>
        <w:numPr>
          <w:ilvl w:val="1"/>
          <w:numId w:val="2"/>
        </w:numPr>
        <w:tabs>
          <w:tab w:pos="515" w:val="left" w:leader="none"/>
          <w:tab w:pos="2901" w:val="left" w:leader="none"/>
        </w:tabs>
        <w:spacing w:line="240" w:lineRule="auto" w:before="99" w:after="0"/>
        <w:ind w:left="515" w:right="0" w:hanging="172"/>
        <w:jc w:val="left"/>
        <w:rPr>
          <w:rFonts w:ascii="Arial MT" w:hAnsi="Arial MT"/>
          <w:b w:val="0"/>
        </w:rPr>
      </w:pPr>
      <w:r>
        <w:rPr/>
        <w:t>Amount: </w:t>
      </w:r>
      <w:r>
        <w:rPr>
          <w:rFonts w:ascii="Arial MT" w:hAnsi="Arial MT"/>
          <w:b w:val="0"/>
          <w:spacing w:val="-10"/>
        </w:rPr>
        <w:t>£</w:t>
      </w:r>
      <w:r>
        <w:rPr>
          <w:rFonts w:ascii="Arial MT" w:hAnsi="Arial MT"/>
          <w:b w:val="0"/>
          <w:u w:val="single"/>
        </w:rPr>
        <w:tab/>
      </w:r>
    </w:p>
    <w:p>
      <w:pPr>
        <w:pStyle w:val="BodyText"/>
        <w:spacing w:before="61"/>
      </w:pPr>
      <w:r>
        <w:rPr/>
        <w:t>(Maximum 5 weeks' rent under the Tenant Fees Act </w:t>
      </w:r>
      <w:r>
        <w:rPr>
          <w:spacing w:val="-2"/>
        </w:rPr>
        <w:t>2019.)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70" w:val="left" w:leader="none"/>
        </w:tabs>
        <w:spacing w:line="307" w:lineRule="auto" w:before="62" w:after="0"/>
        <w:ind w:left="1570" w:right="226" w:hanging="1228"/>
        <w:jc w:val="left"/>
        <w:rPr>
          <w:sz w:val="19"/>
        </w:rPr>
      </w:pPr>
      <w:r>
        <w:rPr>
          <w:rFonts w:ascii="Arial" w:hAnsi="Arial"/>
          <w:b/>
          <w:sz w:val="19"/>
        </w:rPr>
        <w:t>Protection: </w:t>
      </w:r>
      <w:r>
        <w:rPr>
          <w:sz w:val="19"/>
        </w:rPr>
        <w:t>The deposit shall be protected in a government-authorised tenancy deposit scheme within</w:t>
      </w:r>
      <w:r>
        <w:rPr>
          <w:spacing w:val="-3"/>
          <w:sz w:val="19"/>
        </w:rPr>
        <w:t> </w:t>
      </w:r>
      <w:r>
        <w:rPr>
          <w:sz w:val="19"/>
        </w:rPr>
        <w:t>30</w:t>
      </w:r>
      <w:r>
        <w:rPr>
          <w:spacing w:val="-3"/>
          <w:sz w:val="19"/>
        </w:rPr>
        <w:t> </w:t>
      </w:r>
      <w:r>
        <w:rPr>
          <w:sz w:val="19"/>
        </w:rPr>
        <w:t>days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receipt,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prescribed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served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within</w:t>
      </w:r>
      <w:r>
        <w:rPr>
          <w:spacing w:val="-3"/>
          <w:sz w:val="19"/>
        </w:rPr>
        <w:t> </w:t>
      </w:r>
      <w:r>
        <w:rPr>
          <w:sz w:val="19"/>
        </w:rPr>
        <w:t>the same period (Housing Act 2004, s.213).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32" w:after="0"/>
        <w:ind w:left="245" w:right="0" w:hanging="222"/>
        <w:jc w:val="both"/>
      </w:pPr>
      <w:r>
        <w:rPr>
          <w:spacing w:val="-2"/>
        </w:rPr>
        <w:t>Signatures</w:t>
      </w:r>
    </w:p>
    <w:p>
      <w:pPr>
        <w:pStyle w:val="Heading2"/>
        <w:tabs>
          <w:tab w:pos="2597" w:val="left" w:leader="none"/>
          <w:tab w:pos="9090" w:val="left" w:leader="none"/>
        </w:tabs>
        <w:spacing w:line="396" w:lineRule="auto" w:before="99"/>
        <w:ind w:right="121" w:firstLine="0"/>
        <w:jc w:val="both"/>
      </w:pPr>
      <w:r>
        <w:rPr/>
        <w:t>Signed by the Landlord: </w:t>
      </w:r>
      <w:r>
        <w:rPr>
          <w:u w:val="single"/>
        </w:rPr>
        <w:tab/>
        <w:tab/>
      </w:r>
      <w:r>
        <w:rPr/>
        <w:t> Full Name (print):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tabs>
          <w:tab w:pos="2597" w:val="left" w:leader="none"/>
          <w:tab w:pos="9090" w:val="left" w:leader="none"/>
        </w:tabs>
        <w:spacing w:line="396" w:lineRule="auto" w:before="119"/>
        <w:ind w:left="23" w:right="121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Tenant(s):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21"/>
        <w:ind w:left="0"/>
        <w:rPr>
          <w:rFonts w:ascii="Arial"/>
          <w:b/>
          <w:sz w:val="17"/>
        </w:rPr>
      </w:pPr>
    </w:p>
    <w:p>
      <w:pPr>
        <w:spacing w:line="319" w:lineRule="auto" w:before="0"/>
        <w:ind w:left="23" w:right="111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Statutory Compliance Note: Prior to occupation the Landlord must provide: a valid Gas Safety Certificate; an Electrical Installation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Condition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Report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(EICR);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an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Energy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Performance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Certificate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(EPC,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minimum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grade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E);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copy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of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1"/>
          <w:sz w:val="17"/>
        </w:rPr>
        <w:t> </w:t>
      </w:r>
      <w:r>
        <w:rPr>
          <w:rFonts w:ascii="Arial" w:hAnsi="Arial"/>
          <w:i/>
          <w:sz w:val="17"/>
        </w:rPr>
        <w:t>current HMO licence; and the Renters' Rights Act Information Sheet 2026. The property must be registered on the Private Rented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Sector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Database.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Failure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to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comply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may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bar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possession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proceedings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and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attract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civil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penalties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of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up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to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£30,000.</w:t>
      </w:r>
    </w:p>
    <w:sectPr>
      <w:pgSz w:w="11910" w:h="16840"/>
      <w:pgMar w:header="0" w:footer="885" w:top="136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792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https://legalsheets.co.uk/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8.3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r>
                      <w:rPr>
                        <w:spacing w:val="-2"/>
                        <w:sz w:val="13"/>
                      </w:rPr>
                      <w:t>https://legalsheets.co.uk/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8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5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8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7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6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4" w:hanging="1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45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"/>
      <w:ind w:left="23" w:hanging="172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139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15" w:hanging="17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2026-06-06T07:04:04Z</dcterms:created>
  <dcterms:modified xsi:type="dcterms:W3CDTF">2026-06-06T07:04:04Z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2026-06-06T00:00:00Z</vt:filetime>
  </property>
  <property fmtid="{D5CDD505-2E9C-101B-9397-08002B2CF9AE}" pid="5" name="Producer">
    <vt:lpwstr>ReportLab PDF Library - (opensource)</vt:lpwstr>
  </property>
</Properties>
</file>