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Assured Shorthold Tenancy Agreement </w:t>
      </w:r>
      <w:r>
        <w:rPr>
          <w:spacing w:val="-5"/>
        </w:rPr>
        <w:t>UK</w:t>
      </w:r>
    </w:p>
    <w:p>
      <w:pPr>
        <w:pStyle w:val="BodyText"/>
        <w:spacing w:before="1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109239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601563pt;width:451pt;height:.1pt;mso-position-horizontal-relative:page;mso-position-vertical-relative:paragraph;z-index:-15728640;mso-wrap-distance-left:0;mso-wrap-distance-right:0" id="docshape2" coordorigin="1440,172" coordsize="9020,0" path="m1440,172l10460,1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0" w:right="139" w:firstLine="0"/>
        <w:jc w:val="center"/>
        <w:rPr>
          <w:sz w:val="16"/>
        </w:rPr>
      </w:pPr>
      <w:r>
        <w:rPr>
          <w:sz w:val="16"/>
        </w:rPr>
        <w:t>Governed by the Housing Act 1988 as amended by the Renters’ Rights Act </w:t>
      </w:r>
      <w:r>
        <w:rPr>
          <w:spacing w:val="-4"/>
          <w:sz w:val="16"/>
        </w:rPr>
        <w:t>2025</w:t>
      </w:r>
    </w:p>
    <w:p>
      <w:pPr>
        <w:pStyle w:val="BodyText"/>
        <w:spacing w:before="3"/>
        <w:rPr>
          <w:sz w:val="16"/>
        </w:rPr>
      </w:pPr>
    </w:p>
    <w:p>
      <w:pPr>
        <w:pStyle w:val="Heading3"/>
        <w:spacing w:before="1"/>
      </w:pPr>
      <w:r>
        <w:rPr/>
        <w:t>This Tenancy Agreement is made </w:t>
      </w:r>
      <w:r>
        <w:rPr>
          <w:spacing w:val="-2"/>
        </w:rPr>
        <w:t>between: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  <w:tab w:pos="1444" w:val="left" w:leader="none"/>
          <w:tab w:pos="3988" w:val="left" w:leader="none"/>
          <w:tab w:pos="4862" w:val="left" w:leader="none"/>
          <w:tab w:pos="9090" w:val="left" w:leader="none"/>
        </w:tabs>
        <w:spacing w:line="307" w:lineRule="auto" w:before="101" w:after="0"/>
        <w:ind w:left="1444" w:right="121" w:hanging="1102"/>
        <w:jc w:val="left"/>
        <w:rPr>
          <w:sz w:val="19"/>
        </w:rPr>
      </w:pPr>
      <w:r>
        <w:rPr>
          <w:rFonts w:ascii="Arial" w:hAnsi="Arial"/>
          <w:b/>
          <w:sz w:val="19"/>
        </w:rPr>
        <w:t>Landlord: </w:t>
      </w:r>
      <w:r>
        <w:rPr>
          <w:sz w:val="19"/>
        </w:rPr>
        <w:t>Full Name: </w:t>
      </w:r>
      <w:r>
        <w:rPr>
          <w:sz w:val="19"/>
          <w:u w:val="single"/>
        </w:rPr>
        <w:tab/>
        <w:tab/>
      </w:r>
      <w:r>
        <w:rPr>
          <w:spacing w:val="40"/>
          <w:sz w:val="19"/>
        </w:rPr>
        <w:t> </w:t>
      </w:r>
      <w:r>
        <w:rPr>
          <w:sz w:val="19"/>
        </w:rPr>
        <w:t>Address: </w:t>
      </w:r>
      <w:r>
        <w:rPr>
          <w:sz w:val="19"/>
          <w:u w:val="single"/>
        </w:rPr>
        <w:tab/>
      </w:r>
      <w:r>
        <w:rPr>
          <w:sz w:val="19"/>
        </w:rPr>
        <w:t> Postcode: </w:t>
      </w:r>
      <w:r>
        <w:rPr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15" w:val="left" w:leader="none"/>
          <w:tab w:pos="9090" w:val="left" w:leader="none"/>
        </w:tabs>
        <w:spacing w:line="240" w:lineRule="auto" w:before="41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Tenant(s): </w:t>
      </w:r>
      <w:r>
        <w:rPr>
          <w:sz w:val="19"/>
        </w:rPr>
        <w:t>Full Name(s): </w:t>
      </w:r>
      <w:r>
        <w:rPr>
          <w:sz w:val="19"/>
          <w:u w:val="single"/>
        </w:rPr>
        <w:tab/>
      </w: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132" w:after="0"/>
        <w:ind w:left="245" w:right="0" w:hanging="222"/>
        <w:jc w:val="left"/>
      </w:pPr>
      <w:r>
        <w:rPr/>
        <w:t>Property and </w:t>
      </w:r>
      <w:r>
        <w:rPr>
          <w:spacing w:val="-2"/>
        </w:rPr>
        <w:t>Occupation</w:t>
      </w:r>
    </w:p>
    <w:p>
      <w:pPr>
        <w:pStyle w:val="BodyText"/>
        <w:spacing w:before="99"/>
        <w:ind w:left="23"/>
      </w:pPr>
      <w:r>
        <w:rPr/>
        <w:t>The Landlord hereby lets to the Tenant the dwelling-house situated </w:t>
      </w:r>
      <w:r>
        <w:rPr>
          <w:spacing w:val="-5"/>
        </w:rPr>
        <w:t>at:</w:t>
      </w:r>
    </w:p>
    <w:p>
      <w:pPr>
        <w:pStyle w:val="BodyText"/>
        <w:tabs>
          <w:tab w:pos="2767" w:val="left" w:leader="none"/>
          <w:tab w:pos="9090" w:val="left" w:leader="none"/>
        </w:tabs>
        <w:spacing w:line="307" w:lineRule="auto" w:before="102"/>
        <w:ind w:left="23" w:right="121"/>
      </w:pPr>
      <w:r>
        <w:rPr/>
        <w:t>Full Property Address: </w:t>
      </w:r>
      <w:r>
        <w:rPr>
          <w:u w:val="single"/>
        </w:rPr>
        <w:tab/>
        <w:tab/>
      </w:r>
      <w:r>
        <w:rPr/>
        <w:t> Postcode: </w:t>
      </w:r>
      <w:r>
        <w:rPr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4612" w:val="left" w:leader="none"/>
        </w:tabs>
        <w:spacing w:line="240" w:lineRule="auto" w:before="40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Permitted Occupiers: </w:t>
      </w:r>
      <w:r>
        <w:rPr>
          <w:sz w:val="19"/>
        </w:rPr>
        <w:t>Maximum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5612" w:val="left" w:leader="none"/>
          <w:tab w:pos="9090" w:val="left" w:leader="none"/>
        </w:tabs>
        <w:spacing w:line="240" w:lineRule="auto" w:before="62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Condition: </w:t>
      </w:r>
      <w:r>
        <w:rPr>
          <w:sz w:val="19"/>
        </w:rPr>
        <w:t>The Property is let as </w:t>
      </w:r>
      <w:r>
        <w:rPr>
          <w:sz w:val="19"/>
          <w:u w:val="single"/>
        </w:rPr>
        <w:tab/>
      </w:r>
      <w:r>
        <w:rPr>
          <w:sz w:val="19"/>
        </w:rPr>
        <w:t>with an inventory dated </w:t>
      </w:r>
      <w:r>
        <w:rPr>
          <w:sz w:val="19"/>
          <w:u w:val="single"/>
        </w:rPr>
        <w:tab/>
      </w: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132" w:after="0"/>
        <w:ind w:left="245" w:right="0" w:hanging="222"/>
        <w:jc w:val="left"/>
      </w:pPr>
      <w:r>
        <w:rPr/>
        <w:t>Tenancy Type and Start </w:t>
      </w:r>
      <w:r>
        <w:rPr>
          <w:spacing w:val="-4"/>
        </w:rPr>
        <w:t>Date</w:t>
      </w:r>
    </w:p>
    <w:p>
      <w:pPr>
        <w:pStyle w:val="BodyText"/>
        <w:spacing w:line="307" w:lineRule="auto" w:before="100"/>
        <w:ind w:left="23"/>
      </w:pPr>
      <w:r>
        <w:rPr/>
        <w:t>This Agreement creates an assured periodic tenancy under the Housing Act 1988 as amended by the Renters’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2025.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fixed</w:t>
      </w:r>
      <w:r>
        <w:rPr>
          <w:spacing w:val="-3"/>
        </w:rPr>
        <w:t> </w:t>
      </w:r>
      <w:r>
        <w:rPr/>
        <w:t>term</w:t>
      </w:r>
      <w:r>
        <w:rPr>
          <w:spacing w:val="-3"/>
        </w:rPr>
        <w:t> </w:t>
      </w:r>
      <w:r>
        <w:rPr/>
        <w:t>applies;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tenancy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open-ended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periodic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outset.</w:t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5350" w:val="left" w:leader="none"/>
        </w:tabs>
        <w:spacing w:line="240" w:lineRule="auto" w:before="40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Start Date: </w:t>
      </w:r>
      <w:r>
        <w:rPr>
          <w:sz w:val="19"/>
        </w:rPr>
        <w:t>The tenancy begins on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9090" w:val="left" w:leader="none"/>
        </w:tabs>
        <w:spacing w:line="240" w:lineRule="auto" w:before="62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Nature: </w:t>
      </w:r>
      <w:r>
        <w:rPr>
          <w:sz w:val="19"/>
        </w:rPr>
        <w:t>Rolling periodic tenancy with a rental period of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</w:tabs>
        <w:spacing w:line="240" w:lineRule="auto" w:before="61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Fixed Terms: </w:t>
      </w:r>
      <w:r>
        <w:rPr>
          <w:sz w:val="19"/>
        </w:rPr>
        <w:t>No fixed term applies. Any clause purporting to set an end date is </w:t>
      </w:r>
      <w:r>
        <w:rPr>
          <w:spacing w:val="-2"/>
          <w:sz w:val="19"/>
        </w:rPr>
        <w:t>void.</w:t>
      </w: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132" w:after="0"/>
        <w:ind w:left="245" w:right="0" w:hanging="222"/>
        <w:jc w:val="left"/>
      </w:pPr>
      <w:r>
        <w:rPr/>
        <w:t>Rent and Bidding Wars </w:t>
      </w:r>
      <w:r>
        <w:rPr>
          <w:spacing w:val="-2"/>
        </w:rPr>
        <w:t>Prohibition</w:t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3925" w:val="left" w:leader="none"/>
          <w:tab w:pos="9090" w:val="left" w:leader="none"/>
        </w:tabs>
        <w:spacing w:line="240" w:lineRule="auto" w:before="100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Amount: </w:t>
      </w:r>
      <w:r>
        <w:rPr>
          <w:sz w:val="19"/>
        </w:rPr>
        <w:t>The Rent is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z w:val="19"/>
        </w:rPr>
        <w:t>per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4645" w:val="left" w:leader="none"/>
          <w:tab w:pos="9090" w:val="left" w:leader="none"/>
        </w:tabs>
        <w:spacing w:line="240" w:lineRule="auto" w:before="61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Payment: </w:t>
      </w:r>
      <w:r>
        <w:rPr>
          <w:sz w:val="19"/>
        </w:rPr>
        <w:t>Payable in advance on </w:t>
      </w:r>
      <w:r>
        <w:rPr>
          <w:sz w:val="19"/>
          <w:u w:val="single"/>
        </w:rPr>
        <w:tab/>
      </w:r>
      <w:r>
        <w:rPr>
          <w:sz w:val="19"/>
        </w:rPr>
        <w:t>by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898" w:val="left" w:leader="none"/>
        </w:tabs>
        <w:spacing w:line="307" w:lineRule="auto" w:before="62" w:after="0"/>
        <w:ind w:left="1898" w:right="300" w:hanging="1556"/>
        <w:jc w:val="left"/>
        <w:rPr>
          <w:sz w:val="19"/>
        </w:rPr>
      </w:pPr>
      <w:r>
        <w:rPr>
          <w:rFonts w:ascii="Arial" w:hAnsi="Arial"/>
          <w:b/>
          <w:sz w:val="19"/>
        </w:rPr>
        <w:t>Advance Rent: </w:t>
      </w:r>
      <w:r>
        <w:rPr>
          <w:sz w:val="19"/>
        </w:rPr>
        <w:t>No more than one month’s rent may be demanded or accepted in advance. Demanding</w:t>
      </w:r>
      <w:r>
        <w:rPr>
          <w:spacing w:val="-4"/>
          <w:sz w:val="19"/>
        </w:rPr>
        <w:t> </w:t>
      </w:r>
      <w:r>
        <w:rPr>
          <w:sz w:val="19"/>
        </w:rPr>
        <w:t>further</w:t>
      </w:r>
      <w:r>
        <w:rPr>
          <w:spacing w:val="-4"/>
          <w:sz w:val="19"/>
        </w:rPr>
        <w:t> </w:t>
      </w:r>
      <w:r>
        <w:rPr>
          <w:sz w:val="19"/>
        </w:rPr>
        <w:t>advance</w:t>
      </w:r>
      <w:r>
        <w:rPr>
          <w:spacing w:val="-4"/>
          <w:sz w:val="19"/>
        </w:rPr>
        <w:t> </w:t>
      </w:r>
      <w:r>
        <w:rPr>
          <w:sz w:val="19"/>
        </w:rPr>
        <w:t>rent</w:t>
      </w:r>
      <w:r>
        <w:rPr>
          <w:spacing w:val="-4"/>
          <w:sz w:val="19"/>
        </w:rPr>
        <w:t> </w:t>
      </w:r>
      <w:r>
        <w:rPr>
          <w:sz w:val="19"/>
        </w:rPr>
        <w:t>constitutes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prohibited</w:t>
      </w:r>
      <w:r>
        <w:rPr>
          <w:spacing w:val="-4"/>
          <w:sz w:val="19"/>
        </w:rPr>
        <w:t> </w:t>
      </w:r>
      <w:r>
        <w:rPr>
          <w:sz w:val="19"/>
        </w:rPr>
        <w:t>payment</w:t>
      </w:r>
      <w:r>
        <w:rPr>
          <w:spacing w:val="-4"/>
          <w:sz w:val="19"/>
        </w:rPr>
        <w:t> </w:t>
      </w:r>
      <w:r>
        <w:rPr>
          <w:sz w:val="19"/>
        </w:rPr>
        <w:t>under</w:t>
      </w:r>
      <w:r>
        <w:rPr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4"/>
          <w:sz w:val="19"/>
        </w:rPr>
        <w:t> </w:t>
      </w:r>
      <w:r>
        <w:rPr>
          <w:sz w:val="19"/>
        </w:rPr>
        <w:t>Tenant Fees Act 2019.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855" w:val="left" w:leader="none"/>
          <w:tab w:pos="5441" w:val="left" w:leader="none"/>
        </w:tabs>
        <w:spacing w:line="307" w:lineRule="auto" w:before="1" w:after="0"/>
        <w:ind w:left="1855" w:right="728" w:hanging="1513"/>
        <w:jc w:val="left"/>
        <w:rPr>
          <w:sz w:val="19"/>
        </w:rPr>
      </w:pPr>
      <w:r>
        <w:rPr>
          <w:rFonts w:ascii="Arial" w:hAnsi="Arial"/>
          <w:b/>
          <w:sz w:val="19"/>
        </w:rPr>
        <w:t>Bidding Wars: </w:t>
      </w:r>
      <w:r>
        <w:rPr>
          <w:sz w:val="19"/>
        </w:rPr>
        <w:t>The advertised rent was £</w:t>
      </w:r>
      <w:r>
        <w:rPr>
          <w:sz w:val="19"/>
          <w:u w:val="single"/>
        </w:rPr>
        <w:tab/>
      </w:r>
      <w:r>
        <w:rPr>
          <w:sz w:val="19"/>
        </w:rPr>
        <w:t>.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7"/>
          <w:sz w:val="19"/>
        </w:rPr>
        <w:t> </w:t>
      </w:r>
      <w:r>
        <w:rPr>
          <w:sz w:val="19"/>
        </w:rPr>
        <w:t>Landlord</w:t>
      </w:r>
      <w:r>
        <w:rPr>
          <w:spacing w:val="-7"/>
          <w:sz w:val="19"/>
        </w:rPr>
        <w:t> </w:t>
      </w:r>
      <w:r>
        <w:rPr>
          <w:sz w:val="19"/>
        </w:rPr>
        <w:t>confirms</w:t>
      </w:r>
      <w:r>
        <w:rPr>
          <w:spacing w:val="-7"/>
          <w:sz w:val="19"/>
        </w:rPr>
        <w:t> </w:t>
      </w:r>
      <w:r>
        <w:rPr>
          <w:sz w:val="19"/>
        </w:rPr>
        <w:t>no</w:t>
      </w:r>
      <w:r>
        <w:rPr>
          <w:spacing w:val="-7"/>
          <w:sz w:val="19"/>
        </w:rPr>
        <w:t> </w:t>
      </w:r>
      <w:r>
        <w:rPr>
          <w:sz w:val="19"/>
        </w:rPr>
        <w:t>payment above this figure has been invited or</w:t>
      </w:r>
    </w:p>
    <w:p>
      <w:pPr>
        <w:pStyle w:val="BodyText"/>
        <w:ind w:left="1855"/>
      </w:pPr>
      <w:r>
        <w:rPr>
          <w:spacing w:val="-2"/>
        </w:rPr>
        <w:t>accepted.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507" w:val="left" w:leader="none"/>
        </w:tabs>
        <w:spacing w:line="307" w:lineRule="auto" w:before="61" w:after="0"/>
        <w:ind w:left="1507" w:right="543" w:hanging="1165"/>
        <w:jc w:val="left"/>
        <w:rPr>
          <w:sz w:val="19"/>
        </w:rPr>
      </w:pPr>
      <w:r>
        <w:rPr>
          <w:rFonts w:ascii="Arial" w:hAnsi="Arial"/>
          <w:b/>
          <w:sz w:val="19"/>
        </w:rPr>
        <w:t>Increases:</w:t>
      </w:r>
      <w:r>
        <w:rPr>
          <w:rFonts w:ascii="Arial" w:hAnsi="Arial"/>
          <w:b/>
          <w:spacing w:val="-4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rent</w:t>
      </w:r>
      <w:r>
        <w:rPr>
          <w:spacing w:val="-3"/>
          <w:sz w:val="19"/>
        </w:rPr>
        <w:t> </w:t>
      </w:r>
      <w:r>
        <w:rPr>
          <w:sz w:val="19"/>
        </w:rPr>
        <w:t>increase</w:t>
      </w:r>
      <w:r>
        <w:rPr>
          <w:spacing w:val="-3"/>
          <w:sz w:val="19"/>
        </w:rPr>
        <w:t> </w:t>
      </w:r>
      <w:r>
        <w:rPr>
          <w:sz w:val="19"/>
        </w:rPr>
        <w:t>must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effected</w:t>
      </w:r>
      <w:r>
        <w:rPr>
          <w:spacing w:val="-3"/>
          <w:sz w:val="19"/>
        </w:rPr>
        <w:t> </w:t>
      </w:r>
      <w:r>
        <w:rPr>
          <w:sz w:val="19"/>
        </w:rPr>
        <w:t>exclusively</w:t>
      </w:r>
      <w:r>
        <w:rPr>
          <w:spacing w:val="-3"/>
          <w:sz w:val="19"/>
        </w:rPr>
        <w:t> </w:t>
      </w:r>
      <w:r>
        <w:rPr>
          <w:sz w:val="19"/>
        </w:rPr>
        <w:t>via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Section</w:t>
      </w:r>
      <w:r>
        <w:rPr>
          <w:spacing w:val="-3"/>
          <w:sz w:val="19"/>
        </w:rPr>
        <w:t> </w:t>
      </w:r>
      <w:r>
        <w:rPr>
          <w:sz w:val="19"/>
        </w:rPr>
        <w:t>13</w:t>
      </w:r>
      <w:r>
        <w:rPr>
          <w:spacing w:val="-3"/>
          <w:sz w:val="19"/>
        </w:rPr>
        <w:t> </w:t>
      </w:r>
      <w:r>
        <w:rPr>
          <w:sz w:val="19"/>
        </w:rPr>
        <w:t>statutory</w:t>
      </w:r>
      <w:r>
        <w:rPr>
          <w:spacing w:val="-3"/>
          <w:sz w:val="19"/>
        </w:rPr>
        <w:t> </w:t>
      </w:r>
      <w:r>
        <w:rPr>
          <w:sz w:val="19"/>
        </w:rPr>
        <w:t>procedure under the Housing Act 1988, limited to once per calendar year with a minimum of 2 months’ written notice. Contractual rent-review clauses are void.</w:t>
      </w: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32" w:after="0"/>
        <w:ind w:left="245" w:right="0" w:hanging="222"/>
        <w:jc w:val="left"/>
      </w:pPr>
      <w:r>
        <w:rPr>
          <w:spacing w:val="-2"/>
        </w:rPr>
        <w:t>Deposit</w:t>
      </w:r>
    </w:p>
    <w:p>
      <w:pPr>
        <w:pStyle w:val="ListParagraph"/>
        <w:numPr>
          <w:ilvl w:val="1"/>
          <w:numId w:val="2"/>
        </w:numPr>
        <w:tabs>
          <w:tab w:pos="515" w:val="left" w:leader="none"/>
          <w:tab w:pos="3101" w:val="left" w:leader="none"/>
        </w:tabs>
        <w:spacing w:line="240" w:lineRule="auto" w:before="99" w:after="0"/>
        <w:ind w:left="515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Amount: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708" w:val="left" w:leader="none"/>
        </w:tabs>
        <w:spacing w:line="307" w:lineRule="auto" w:before="62" w:after="0"/>
        <w:ind w:left="1708" w:right="247" w:hanging="1366"/>
        <w:jc w:val="left"/>
        <w:rPr>
          <w:sz w:val="19"/>
        </w:rPr>
      </w:pPr>
      <w:r>
        <w:rPr>
          <w:rFonts w:ascii="Arial" w:hAnsi="Arial"/>
          <w:b/>
          <w:sz w:val="19"/>
        </w:rPr>
        <w:t>Compliance: </w:t>
      </w:r>
      <w:r>
        <w:rPr>
          <w:sz w:val="19"/>
        </w:rPr>
        <w:t>The deposit shall be protected in a government-authorised tenancy deposit scheme within</w:t>
      </w:r>
      <w:r>
        <w:rPr>
          <w:spacing w:val="-3"/>
          <w:sz w:val="19"/>
        </w:rPr>
        <w:t> </w:t>
      </w:r>
      <w:r>
        <w:rPr>
          <w:sz w:val="19"/>
        </w:rPr>
        <w:t>30</w:t>
      </w:r>
      <w:r>
        <w:rPr>
          <w:spacing w:val="-3"/>
          <w:sz w:val="19"/>
        </w:rPr>
        <w:t> </w:t>
      </w:r>
      <w:r>
        <w:rPr>
          <w:sz w:val="19"/>
        </w:rPr>
        <w:t>days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receipt,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accordance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3"/>
          <w:sz w:val="19"/>
        </w:rPr>
        <w:t> </w:t>
      </w:r>
      <w:r>
        <w:rPr>
          <w:sz w:val="19"/>
        </w:rPr>
        <w:t>section</w:t>
      </w:r>
      <w:r>
        <w:rPr>
          <w:spacing w:val="-3"/>
          <w:sz w:val="19"/>
        </w:rPr>
        <w:t> </w:t>
      </w:r>
      <w:r>
        <w:rPr>
          <w:sz w:val="19"/>
        </w:rPr>
        <w:t>213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Housing</w:t>
      </w:r>
      <w:r>
        <w:rPr>
          <w:spacing w:val="-3"/>
          <w:sz w:val="19"/>
        </w:rPr>
        <w:t> </w:t>
      </w:r>
      <w:r>
        <w:rPr>
          <w:sz w:val="19"/>
        </w:rPr>
        <w:t>Act</w:t>
      </w:r>
      <w:r>
        <w:rPr>
          <w:spacing w:val="-3"/>
          <w:sz w:val="19"/>
        </w:rPr>
        <w:t> </w:t>
      </w:r>
      <w:r>
        <w:rPr>
          <w:sz w:val="19"/>
        </w:rPr>
        <w:t>2004.</w:t>
      </w:r>
      <w:r>
        <w:rPr>
          <w:spacing w:val="-3"/>
          <w:sz w:val="19"/>
        </w:rPr>
        <w:t> </w:t>
      </w:r>
      <w:r>
        <w:rPr>
          <w:sz w:val="19"/>
        </w:rPr>
        <w:t>The Landlord shall serve the prescribed information on the Tenant within the same period.</w:t>
      </w: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31" w:after="0"/>
        <w:ind w:left="245" w:right="0" w:hanging="222"/>
        <w:jc w:val="left"/>
      </w:pPr>
      <w:r>
        <w:rPr>
          <w:spacing w:val="-4"/>
        </w:rPr>
        <w:t>Pets</w:t>
      </w:r>
    </w:p>
    <w:p>
      <w:pPr>
        <w:pStyle w:val="BodyText"/>
        <w:spacing w:before="100"/>
        <w:ind w:left="23"/>
      </w:pPr>
      <w:r>
        <w:rPr/>
        <w:t>The Tenant may request written permission to keep a pet at the </w:t>
      </w:r>
      <w:r>
        <w:rPr>
          <w:spacing w:val="-2"/>
        </w:rPr>
        <w:t>Property.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2415" w:val="left" w:leader="none"/>
        </w:tabs>
        <w:spacing w:line="307" w:lineRule="auto" w:before="101" w:after="0"/>
        <w:ind w:left="2415" w:right="1155" w:hanging="2073"/>
        <w:jc w:val="left"/>
        <w:rPr>
          <w:sz w:val="19"/>
        </w:rPr>
      </w:pPr>
      <w:r>
        <w:rPr>
          <w:rFonts w:ascii="Arial" w:hAnsi="Arial"/>
          <w:b/>
          <w:sz w:val="19"/>
        </w:rPr>
        <w:t>Landlord’s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Consent: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unreasonably</w:t>
      </w:r>
      <w:r>
        <w:rPr>
          <w:spacing w:val="-3"/>
          <w:sz w:val="19"/>
        </w:rPr>
        <w:t> </w:t>
      </w:r>
      <w:r>
        <w:rPr>
          <w:sz w:val="19"/>
        </w:rPr>
        <w:t>withhold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delay</w:t>
      </w:r>
      <w:r>
        <w:rPr>
          <w:spacing w:val="-3"/>
          <w:sz w:val="19"/>
        </w:rPr>
        <w:t> </w:t>
      </w:r>
      <w:r>
        <w:rPr>
          <w:sz w:val="19"/>
        </w:rPr>
        <w:t>consent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a reasonable request to keep a pet.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528" w:val="left" w:leader="none"/>
        </w:tabs>
        <w:spacing w:line="307" w:lineRule="auto" w:before="1" w:after="0"/>
        <w:ind w:left="1528" w:right="363" w:hanging="1186"/>
        <w:jc w:val="left"/>
        <w:rPr>
          <w:sz w:val="19"/>
        </w:rPr>
      </w:pPr>
      <w:r>
        <w:rPr>
          <w:rFonts w:ascii="Arial" w:hAnsi="Arial"/>
          <w:b/>
          <w:sz w:val="19"/>
        </w:rPr>
        <w:t>Insurance: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may,</w:t>
      </w:r>
      <w:r>
        <w:rPr>
          <w:spacing w:val="-3"/>
          <w:sz w:val="19"/>
        </w:rPr>
        <w:t> </w:t>
      </w: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condition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consent,</w:t>
      </w:r>
      <w:r>
        <w:rPr>
          <w:spacing w:val="-3"/>
          <w:sz w:val="19"/>
        </w:rPr>
        <w:t> </w:t>
      </w:r>
      <w:r>
        <w:rPr>
          <w:sz w:val="19"/>
        </w:rPr>
        <w:t>require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Tenant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obtain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maintain suitable insurance against property damage caused by the pet.</w:t>
      </w: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31" w:after="0"/>
        <w:ind w:left="245" w:right="0" w:hanging="222"/>
        <w:jc w:val="left"/>
      </w:pPr>
      <w:r>
        <w:rPr/>
        <w:t>Landlord and Tenant </w:t>
      </w:r>
      <w:r>
        <w:rPr>
          <w:spacing w:val="-2"/>
        </w:rPr>
        <w:t>Obligations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328" w:val="left" w:leader="none"/>
        </w:tabs>
        <w:spacing w:line="307" w:lineRule="auto" w:before="100" w:after="0"/>
        <w:ind w:left="1328" w:right="173" w:hanging="986"/>
        <w:jc w:val="both"/>
        <w:rPr>
          <w:sz w:val="19"/>
        </w:rPr>
      </w:pPr>
      <w:r>
        <w:rPr>
          <w:rFonts w:ascii="Arial" w:hAnsi="Arial"/>
          <w:b/>
          <w:sz w:val="19"/>
        </w:rPr>
        <w:t>Repairs:</w:t>
      </w:r>
      <w:r>
        <w:rPr>
          <w:rFonts w:ascii="Arial" w:hAnsi="Arial"/>
          <w:b/>
          <w:spacing w:val="-1"/>
          <w:sz w:val="19"/>
        </w:rPr>
        <w:t> </w:t>
      </w:r>
      <w:r>
        <w:rPr>
          <w:sz w:val="19"/>
        </w:rPr>
        <w:t>The Landlord shall maintain the structure and exterior of the Property and keep installations for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supply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water,</w:t>
      </w:r>
      <w:r>
        <w:rPr>
          <w:spacing w:val="-3"/>
          <w:sz w:val="19"/>
        </w:rPr>
        <w:t> </w:t>
      </w:r>
      <w:r>
        <w:rPr>
          <w:sz w:val="19"/>
        </w:rPr>
        <w:t>gas,</w:t>
      </w:r>
      <w:r>
        <w:rPr>
          <w:spacing w:val="-3"/>
          <w:sz w:val="19"/>
        </w:rPr>
        <w:t> </w:t>
      </w:r>
      <w:r>
        <w:rPr>
          <w:sz w:val="19"/>
        </w:rPr>
        <w:t>electricity,</w:t>
      </w:r>
      <w:r>
        <w:rPr>
          <w:spacing w:val="-3"/>
          <w:sz w:val="19"/>
        </w:rPr>
        <w:t> </w:t>
      </w:r>
      <w:r>
        <w:rPr>
          <w:sz w:val="19"/>
        </w:rPr>
        <w:t>sanitation,</w:t>
      </w:r>
      <w:r>
        <w:rPr>
          <w:spacing w:val="-3"/>
          <w:sz w:val="19"/>
        </w:rPr>
        <w:t> </w:t>
      </w:r>
      <w:r>
        <w:rPr>
          <w:sz w:val="19"/>
        </w:rPr>
        <w:t>space-heating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water-heating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repair and proper working order, in accordance with section 11 of the Landlord and Tenant Act</w:t>
      </w:r>
    </w:p>
    <w:p>
      <w:pPr>
        <w:pStyle w:val="ListParagraph"/>
        <w:spacing w:after="0" w:line="307" w:lineRule="auto"/>
        <w:jc w:val="both"/>
        <w:rPr>
          <w:sz w:val="19"/>
        </w:rPr>
        <w:sectPr>
          <w:footerReference w:type="default" r:id="rId5"/>
          <w:type w:val="continuous"/>
          <w:pgSz w:w="11910" w:h="16840"/>
          <w:pgMar w:header="0" w:footer="885" w:top="860" w:bottom="1080" w:left="1417" w:right="1275"/>
          <w:pgNumType w:start="1"/>
        </w:sectPr>
      </w:pPr>
    </w:p>
    <w:p>
      <w:pPr>
        <w:tabs>
          <w:tab w:pos="8535" w:val="left" w:leader="none"/>
        </w:tabs>
        <w:spacing w:before="70"/>
        <w:ind w:left="23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Assured Shorthold Tenancy Agreement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28128;mso-wrap-distance-left:0;mso-wrap-distance-right:0" id="docshape3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6"/>
        <w:ind w:left="1328"/>
      </w:pPr>
      <w:r>
        <w:rPr/>
        <w:t>1985 and the Decent Homes </w:t>
      </w:r>
      <w:r>
        <w:rPr>
          <w:spacing w:val="-2"/>
        </w:rPr>
        <w:t>Standard.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729" w:val="left" w:leader="none"/>
        </w:tabs>
        <w:spacing w:line="307" w:lineRule="auto" w:before="62" w:after="0"/>
        <w:ind w:left="1729" w:right="533" w:hanging="1387"/>
        <w:jc w:val="left"/>
        <w:rPr>
          <w:sz w:val="19"/>
        </w:rPr>
      </w:pPr>
      <w:r>
        <w:rPr>
          <w:rFonts w:ascii="Arial" w:hAnsi="Arial"/>
          <w:b/>
          <w:sz w:val="19"/>
        </w:rPr>
        <w:t>Tenant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Care: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Tenant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keep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interior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Property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tenant-like</w:t>
      </w:r>
      <w:r>
        <w:rPr>
          <w:spacing w:val="-3"/>
          <w:sz w:val="19"/>
        </w:rPr>
        <w:t> </w:t>
      </w:r>
      <w:r>
        <w:rPr>
          <w:sz w:val="19"/>
        </w:rPr>
        <w:t>manner,</w:t>
      </w:r>
      <w:r>
        <w:rPr>
          <w:spacing w:val="-3"/>
          <w:sz w:val="19"/>
        </w:rPr>
        <w:t> </w:t>
      </w:r>
      <w:r>
        <w:rPr>
          <w:sz w:val="19"/>
        </w:rPr>
        <w:t>fair</w:t>
      </w:r>
      <w:r>
        <w:rPr>
          <w:spacing w:val="-3"/>
          <w:sz w:val="19"/>
        </w:rPr>
        <w:t> </w:t>
      </w:r>
      <w:r>
        <w:rPr>
          <w:sz w:val="19"/>
        </w:rPr>
        <w:t>wear and tear excepted, and shall not cause damage or nuisance.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950" w:val="left" w:leader="none"/>
        </w:tabs>
        <w:spacing w:line="307" w:lineRule="auto" w:before="1" w:after="0"/>
        <w:ind w:left="1950" w:right="374" w:hanging="1608"/>
        <w:jc w:val="left"/>
        <w:rPr>
          <w:sz w:val="19"/>
        </w:rPr>
      </w:pPr>
      <w:r>
        <w:rPr>
          <w:rFonts w:ascii="Arial" w:hAnsi="Arial"/>
          <w:b/>
          <w:sz w:val="19"/>
        </w:rPr>
        <w:t>Discrimination: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apply</w:t>
      </w:r>
      <w:r>
        <w:rPr>
          <w:spacing w:val="-3"/>
          <w:sz w:val="19"/>
        </w:rPr>
        <w:t> </w:t>
      </w:r>
      <w:r>
        <w:rPr>
          <w:sz w:val="19"/>
        </w:rPr>
        <w:t>discriminatory</w:t>
      </w:r>
      <w:r>
        <w:rPr>
          <w:spacing w:val="-3"/>
          <w:sz w:val="19"/>
        </w:rPr>
        <w:t> </w:t>
      </w:r>
      <w:r>
        <w:rPr>
          <w:sz w:val="19"/>
        </w:rPr>
        <w:t>practices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letting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management of the Property, including towards tenants with children or those in receipt of housing benefit or other welfare payments, in accordance with the Equality Act </w:t>
      </w:r>
      <w:r>
        <w:rPr>
          <w:spacing w:val="-2"/>
          <w:sz w:val="19"/>
        </w:rPr>
        <w:t>2010.</w:t>
      </w: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32" w:after="0"/>
        <w:ind w:left="245" w:right="0" w:hanging="222"/>
        <w:jc w:val="left"/>
      </w:pPr>
      <w:r>
        <w:rPr/>
        <w:t>Access and </w:t>
      </w:r>
      <w:r>
        <w:rPr>
          <w:spacing w:val="-2"/>
        </w:rPr>
        <w:t>Inspection</w:t>
      </w:r>
    </w:p>
    <w:p>
      <w:pPr>
        <w:pStyle w:val="BodyText"/>
        <w:spacing w:line="307" w:lineRule="auto" w:before="99"/>
        <w:ind w:left="23" w:right="195"/>
      </w:pPr>
      <w:r>
        <w:rPr/>
        <w:t>The</w:t>
      </w:r>
      <w:r>
        <w:rPr>
          <w:spacing w:val="-3"/>
        </w:rPr>
        <w:t> </w:t>
      </w:r>
      <w:r>
        <w:rPr/>
        <w:t>Tenant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permit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Landlord’s</w:t>
      </w:r>
      <w:r>
        <w:rPr>
          <w:spacing w:val="-3"/>
        </w:rPr>
        <w:t> </w:t>
      </w:r>
      <w:r>
        <w:rPr/>
        <w:t>agents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times for the purpose of inspection or carrying out repairs, provided that not less than 24 hours’ prior written notice is given, except in cases of genuine emergency.</w:t>
      </w: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72" w:after="0"/>
        <w:ind w:left="245" w:right="0" w:hanging="222"/>
        <w:jc w:val="left"/>
      </w:pPr>
      <w:r>
        <w:rPr/>
        <w:t>Ending the </w:t>
      </w:r>
      <w:r>
        <w:rPr>
          <w:spacing w:val="-2"/>
        </w:rPr>
        <w:t>Tenancy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549" w:val="left" w:leader="none"/>
        </w:tabs>
        <w:spacing w:line="307" w:lineRule="auto" w:before="99" w:after="0"/>
        <w:ind w:left="1549" w:right="332" w:hanging="1207"/>
        <w:jc w:val="left"/>
        <w:rPr>
          <w:sz w:val="19"/>
        </w:rPr>
      </w:pP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Tenant:</w:t>
      </w:r>
      <w:r>
        <w:rPr>
          <w:rFonts w:ascii="Arial" w:hAnsi="Arial"/>
          <w:b/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Tenant</w:t>
      </w:r>
      <w:r>
        <w:rPr>
          <w:spacing w:val="-2"/>
          <w:sz w:val="19"/>
        </w:rPr>
        <w:t> </w:t>
      </w:r>
      <w:r>
        <w:rPr>
          <w:sz w:val="19"/>
        </w:rPr>
        <w:t>may</w:t>
      </w:r>
      <w:r>
        <w:rPr>
          <w:spacing w:val="-2"/>
          <w:sz w:val="19"/>
        </w:rPr>
        <w:t> </w:t>
      </w:r>
      <w:r>
        <w:rPr>
          <w:sz w:val="19"/>
        </w:rPr>
        <w:t>end</w:t>
      </w:r>
      <w:r>
        <w:rPr>
          <w:spacing w:val="-2"/>
          <w:sz w:val="19"/>
        </w:rPr>
        <w:t> </w:t>
      </w:r>
      <w:r>
        <w:rPr>
          <w:sz w:val="19"/>
        </w:rPr>
        <w:t>this</w:t>
      </w:r>
      <w:r>
        <w:rPr>
          <w:spacing w:val="-2"/>
          <w:sz w:val="19"/>
        </w:rPr>
        <w:t> </w:t>
      </w:r>
      <w:r>
        <w:rPr>
          <w:sz w:val="19"/>
        </w:rPr>
        <w:t>periodic</w:t>
      </w:r>
      <w:r>
        <w:rPr>
          <w:spacing w:val="-2"/>
          <w:sz w:val="19"/>
        </w:rPr>
        <w:t> </w:t>
      </w:r>
      <w:r>
        <w:rPr>
          <w:sz w:val="19"/>
        </w:rPr>
        <w:t>tenancy</w:t>
      </w:r>
      <w:r>
        <w:rPr>
          <w:spacing w:val="-2"/>
          <w:sz w:val="19"/>
        </w:rPr>
        <w:t> </w:t>
      </w:r>
      <w:r>
        <w:rPr>
          <w:sz w:val="19"/>
        </w:rPr>
        <w:t>at</w:t>
      </w:r>
      <w:r>
        <w:rPr>
          <w:spacing w:val="-2"/>
          <w:sz w:val="19"/>
        </w:rPr>
        <w:t> </w:t>
      </w:r>
      <w:r>
        <w:rPr>
          <w:sz w:val="19"/>
        </w:rPr>
        <w:t>any</w:t>
      </w:r>
      <w:r>
        <w:rPr>
          <w:spacing w:val="-2"/>
          <w:sz w:val="19"/>
        </w:rPr>
        <w:t> </w:t>
      </w:r>
      <w:r>
        <w:rPr>
          <w:sz w:val="19"/>
        </w:rPr>
        <w:t>time</w:t>
      </w:r>
      <w:r>
        <w:rPr>
          <w:spacing w:val="-2"/>
          <w:sz w:val="19"/>
        </w:rPr>
        <w:t> </w:t>
      </w:r>
      <w:r>
        <w:rPr>
          <w:sz w:val="19"/>
        </w:rPr>
        <w:t>by</w:t>
      </w:r>
      <w:r>
        <w:rPr>
          <w:spacing w:val="-2"/>
          <w:sz w:val="19"/>
        </w:rPr>
        <w:t> </w:t>
      </w:r>
      <w:r>
        <w:rPr>
          <w:sz w:val="19"/>
        </w:rPr>
        <w:t>giving</w:t>
      </w:r>
      <w:r>
        <w:rPr>
          <w:spacing w:val="-2"/>
          <w:sz w:val="19"/>
        </w:rPr>
        <w:t> </w:t>
      </w:r>
      <w:r>
        <w:rPr>
          <w:sz w:val="19"/>
        </w:rPr>
        <w:t>not</w:t>
      </w:r>
      <w:r>
        <w:rPr>
          <w:spacing w:val="-2"/>
          <w:sz w:val="19"/>
        </w:rPr>
        <w:t> </w:t>
      </w:r>
      <w:r>
        <w:rPr>
          <w:sz w:val="19"/>
        </w:rPr>
        <w:t>less</w:t>
      </w:r>
      <w:r>
        <w:rPr>
          <w:spacing w:val="-2"/>
          <w:sz w:val="19"/>
        </w:rPr>
        <w:t> </w:t>
      </w:r>
      <w:r>
        <w:rPr>
          <w:sz w:val="19"/>
        </w:rPr>
        <w:t>than</w:t>
      </w:r>
      <w:r>
        <w:rPr>
          <w:spacing w:val="-2"/>
          <w:sz w:val="19"/>
        </w:rPr>
        <w:t> </w:t>
      </w:r>
      <w:r>
        <w:rPr>
          <w:sz w:val="19"/>
        </w:rPr>
        <w:t>2</w:t>
      </w:r>
      <w:r>
        <w:rPr>
          <w:spacing w:val="-2"/>
          <w:sz w:val="19"/>
        </w:rPr>
        <w:t> </w:t>
      </w:r>
      <w:r>
        <w:rPr>
          <w:sz w:val="19"/>
        </w:rPr>
        <w:t>months’ written notice to the Landlord.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  <w:tab w:pos="1739" w:val="left" w:leader="none"/>
        </w:tabs>
        <w:spacing w:line="307" w:lineRule="auto" w:before="1" w:after="0"/>
        <w:ind w:left="1739" w:right="236" w:hanging="1397"/>
        <w:jc w:val="left"/>
        <w:rPr>
          <w:sz w:val="19"/>
        </w:rPr>
      </w:pPr>
      <w:r>
        <w:rPr>
          <w:rFonts w:ascii="Arial" w:hAnsi="Arial"/>
          <w:b/>
          <w:sz w:val="19"/>
        </w:rPr>
        <w:t>By</w:t>
      </w:r>
      <w:r>
        <w:rPr>
          <w:rFonts w:ascii="Arial" w:hAnsi="Arial"/>
          <w:b/>
          <w:spacing w:val="-3"/>
          <w:sz w:val="19"/>
        </w:rPr>
        <w:t> </w:t>
      </w:r>
      <w:r>
        <w:rPr>
          <w:rFonts w:ascii="Arial" w:hAnsi="Arial"/>
          <w:b/>
          <w:sz w:val="19"/>
        </w:rPr>
        <w:t>Landlord: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only</w:t>
      </w:r>
      <w:r>
        <w:rPr>
          <w:spacing w:val="-3"/>
          <w:sz w:val="19"/>
        </w:rPr>
        <w:t> </w:t>
      </w:r>
      <w:r>
        <w:rPr>
          <w:sz w:val="19"/>
        </w:rPr>
        <w:t>seek</w:t>
      </w:r>
      <w:r>
        <w:rPr>
          <w:spacing w:val="-3"/>
          <w:sz w:val="19"/>
        </w:rPr>
        <w:t> </w:t>
      </w:r>
      <w:r>
        <w:rPr>
          <w:sz w:val="19"/>
        </w:rPr>
        <w:t>possession</w:t>
      </w:r>
      <w:r>
        <w:rPr>
          <w:spacing w:val="-3"/>
          <w:sz w:val="19"/>
        </w:rPr>
        <w:t> </w:t>
      </w:r>
      <w:r>
        <w:rPr>
          <w:sz w:val="19"/>
        </w:rPr>
        <w:t>by</w:t>
      </w:r>
      <w:r>
        <w:rPr>
          <w:spacing w:val="-3"/>
          <w:sz w:val="19"/>
        </w:rPr>
        <w:t> </w:t>
      </w:r>
      <w:r>
        <w:rPr>
          <w:sz w:val="19"/>
        </w:rPr>
        <w:t>establishing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lawful</w:t>
      </w:r>
      <w:r>
        <w:rPr>
          <w:spacing w:val="-3"/>
          <w:sz w:val="19"/>
        </w:rPr>
        <w:t> </w:t>
      </w:r>
      <w:r>
        <w:rPr>
          <w:sz w:val="19"/>
        </w:rPr>
        <w:t>ground</w:t>
      </w:r>
      <w:r>
        <w:rPr>
          <w:spacing w:val="-3"/>
          <w:sz w:val="19"/>
        </w:rPr>
        <w:t> </w:t>
      </w:r>
      <w:r>
        <w:rPr>
          <w:sz w:val="19"/>
        </w:rPr>
        <w:t>under</w:t>
      </w:r>
      <w:r>
        <w:rPr>
          <w:spacing w:val="-3"/>
          <w:sz w:val="19"/>
        </w:rPr>
        <w:t> </w:t>
      </w:r>
      <w:r>
        <w:rPr>
          <w:sz w:val="19"/>
        </w:rPr>
        <w:t>section 8 of the Housing Act 1988. Section 21 no-fault evictions are abolished by the Renters’ Rights Act 2025. No possession action may be commenced within the first 12 months of the tenancy on grounds of sale or reoccupation.</w:t>
      </w:r>
    </w:p>
    <w:p>
      <w:pPr>
        <w:pStyle w:val="Heading2"/>
        <w:numPr>
          <w:ilvl w:val="0"/>
          <w:numId w:val="2"/>
        </w:numPr>
        <w:tabs>
          <w:tab w:pos="245" w:val="left" w:leader="none"/>
        </w:tabs>
        <w:spacing w:line="240" w:lineRule="auto" w:before="72" w:after="0"/>
        <w:ind w:left="245" w:right="0" w:hanging="222"/>
        <w:jc w:val="both"/>
      </w:pPr>
      <w:r>
        <w:rPr>
          <w:spacing w:val="-2"/>
        </w:rPr>
        <w:t>Signatures</w:t>
      </w:r>
    </w:p>
    <w:p>
      <w:pPr>
        <w:pStyle w:val="Heading3"/>
        <w:tabs>
          <w:tab w:pos="2597" w:val="left" w:leader="none"/>
          <w:tab w:pos="9090" w:val="left" w:leader="none"/>
        </w:tabs>
        <w:spacing w:line="396" w:lineRule="auto"/>
        <w:ind w:right="121"/>
        <w:jc w:val="both"/>
      </w:pPr>
      <w:r>
        <w:rPr/>
        <w:t>Signed by the Landlord: </w:t>
      </w:r>
      <w:r>
        <w:rPr>
          <w:u w:val="single"/>
        </w:rPr>
        <w:tab/>
        <w:tab/>
      </w:r>
      <w:r>
        <w:rPr/>
        <w:t> Full Name (print): </w:t>
      </w:r>
      <w:r>
        <w:rPr>
          <w:u w:val="single"/>
        </w:rPr>
        <w:tab/>
        <w:tab/>
      </w:r>
      <w:r>
        <w:rPr/>
        <w:t> Date: </w:t>
      </w:r>
      <w:r>
        <w:rPr>
          <w:u w:val="single"/>
        </w:rPr>
        <w:tab/>
      </w:r>
    </w:p>
    <w:p>
      <w:pPr>
        <w:tabs>
          <w:tab w:pos="2597" w:val="left" w:leader="none"/>
          <w:tab w:pos="9090" w:val="left" w:leader="none"/>
        </w:tabs>
        <w:spacing w:line="396" w:lineRule="auto" w:before="119"/>
        <w:ind w:left="23" w:right="121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Signed by the Tenant(s):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Full Name (print):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Date: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spacing w:before="21"/>
        <w:rPr>
          <w:rFonts w:ascii="Arial"/>
          <w:b/>
          <w:sz w:val="17"/>
        </w:rPr>
      </w:pPr>
    </w:p>
    <w:p>
      <w:pPr>
        <w:spacing w:line="319" w:lineRule="auto" w:before="1"/>
        <w:ind w:left="23" w:right="195" w:firstLine="0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Statutory Compliance Note: Before the tenancy commences, the Landlord must provide the Tenant with: (1) a valid Energy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Performance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Certificate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(EPC,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minimum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grade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E);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(2)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a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current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Gas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Safety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Certificate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(and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annually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thereafter);</w:t>
      </w:r>
    </w:p>
    <w:p>
      <w:pPr>
        <w:spacing w:line="319" w:lineRule="auto" w:before="0"/>
        <w:ind w:left="23" w:right="195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(3) the government’s ‘How to Rent’ guide; and (4) the prescribed deposit information. The Landlord must also be registered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on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Private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Rented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Sector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Database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before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marketing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or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letting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the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Property.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Failure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to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comply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may</w:t>
      </w:r>
      <w:r>
        <w:rPr>
          <w:rFonts w:ascii="Arial" w:hAnsi="Arial"/>
          <w:i/>
          <w:spacing w:val="-2"/>
          <w:sz w:val="17"/>
        </w:rPr>
        <w:t> </w:t>
      </w:r>
      <w:r>
        <w:rPr>
          <w:rFonts w:ascii="Arial" w:hAnsi="Arial"/>
          <w:i/>
          <w:sz w:val="17"/>
        </w:rPr>
        <w:t>bar possession proceedings and attract local authority penalties of up to £7,000.</w:t>
      </w:r>
    </w:p>
    <w:sectPr>
      <w:pgSz w:w="11910" w:h="16840"/>
      <w:pgMar w:header="0" w:footer="885" w:top="1360" w:bottom="10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6768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8.3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45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5" w:hanging="173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18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16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44" w:hanging="173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4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6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4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1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8" w:hanging="17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139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2"/>
      <w:ind w:left="245" w:hanging="22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9"/>
      <w:ind w:left="23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45" w:hanging="22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2026-06-04T16:30:31Z</dcterms:created>
  <dcterms:modified xsi:type="dcterms:W3CDTF">2026-06-04T16:30:31Z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2026-06-04T00:00:00Z</vt:filetime>
  </property>
  <property fmtid="{D5CDD505-2E9C-101B-9397-08002B2CF9AE}" pid="6" name="Producer">
    <vt:lpwstr>ReportLab PDF Library - (opensource)</vt:lpwstr>
  </property>
</Properties>
</file>